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A3C09" w14:textId="130BBD97" w:rsidR="00E90E49" w:rsidRPr="00CE0424" w:rsidRDefault="00E90E49" w:rsidP="00E35559">
      <w:pPr>
        <w:pStyle w:val="3GPPHeader"/>
        <w:spacing w:after="60"/>
        <w:rPr>
          <w:sz w:val="32"/>
          <w:szCs w:val="32"/>
          <w:highlight w:val="yellow"/>
        </w:rPr>
      </w:pPr>
      <w:r w:rsidRPr="00CE0424">
        <w:t xml:space="preserve">3GPP TSG-RAN </w:t>
      </w:r>
      <w:r w:rsidR="009B66F8">
        <w:t>Rel-18 workshop</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9B66F8">
        <w:rPr>
          <w:sz w:val="32"/>
          <w:szCs w:val="32"/>
        </w:rPr>
        <w:t>WS-2</w:t>
      </w:r>
      <w:r w:rsidR="002270E9">
        <w:rPr>
          <w:sz w:val="32"/>
          <w:szCs w:val="32"/>
        </w:rPr>
        <w:t>1</w:t>
      </w:r>
      <w:r w:rsidR="0074667D">
        <w:rPr>
          <w:sz w:val="32"/>
          <w:szCs w:val="32"/>
        </w:rPr>
        <w:t>0330</w:t>
      </w:r>
    </w:p>
    <w:p w14:paraId="6CFE06E6" w14:textId="77777777" w:rsidR="00E90E49" w:rsidRPr="00CE0424" w:rsidRDefault="00C268E6" w:rsidP="00311702">
      <w:pPr>
        <w:pStyle w:val="3GPPHeader"/>
      </w:pPr>
      <w:r>
        <w:t xml:space="preserve">Electronic meeting, </w:t>
      </w:r>
      <w:r w:rsidR="009B66F8">
        <w:t>June 28 – July 2, 2021</w:t>
      </w:r>
    </w:p>
    <w:p w14:paraId="685B9964" w14:textId="77777777" w:rsidR="00E90E49" w:rsidRPr="00CE0424" w:rsidRDefault="00E90E49" w:rsidP="00357380">
      <w:pPr>
        <w:pStyle w:val="3GPPHeader"/>
      </w:pPr>
    </w:p>
    <w:p w14:paraId="1D188AA4" w14:textId="625EE8F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220EC">
        <w:rPr>
          <w:sz w:val="22"/>
          <w:szCs w:val="22"/>
        </w:rPr>
        <w:t>4.2</w:t>
      </w:r>
    </w:p>
    <w:p w14:paraId="518B6BF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CBA2AB6" w14:textId="0986C17F" w:rsidR="00E90E49" w:rsidRPr="00CE0424" w:rsidRDefault="003D3C45" w:rsidP="00311702">
      <w:pPr>
        <w:pStyle w:val="3GPPHeader"/>
        <w:rPr>
          <w:sz w:val="22"/>
          <w:szCs w:val="22"/>
        </w:rPr>
      </w:pPr>
      <w:r>
        <w:rPr>
          <w:sz w:val="22"/>
          <w:szCs w:val="22"/>
        </w:rPr>
        <w:t>Title:</w:t>
      </w:r>
      <w:r w:rsidR="00E90E49" w:rsidRPr="00CE0424">
        <w:rPr>
          <w:sz w:val="22"/>
          <w:szCs w:val="22"/>
        </w:rPr>
        <w:tab/>
      </w:r>
      <w:r w:rsidR="00DB2AA8">
        <w:rPr>
          <w:sz w:val="22"/>
          <w:szCs w:val="22"/>
        </w:rPr>
        <w:t xml:space="preserve">MBS </w:t>
      </w:r>
      <w:r w:rsidR="00F155B6">
        <w:rPr>
          <w:sz w:val="22"/>
          <w:szCs w:val="22"/>
        </w:rPr>
        <w:t xml:space="preserve">and related </w:t>
      </w:r>
      <w:r w:rsidR="00007C55">
        <w:rPr>
          <w:sz w:val="22"/>
          <w:szCs w:val="22"/>
        </w:rPr>
        <w:t xml:space="preserve">spectrum bands </w:t>
      </w:r>
      <w:r w:rsidR="00DB2AA8">
        <w:rPr>
          <w:sz w:val="22"/>
          <w:szCs w:val="22"/>
        </w:rPr>
        <w:t>in Rel-18</w:t>
      </w:r>
    </w:p>
    <w:p w14:paraId="3D05809A" w14:textId="05EDA20F"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E220EC">
        <w:rPr>
          <w:sz w:val="22"/>
          <w:szCs w:val="22"/>
        </w:rPr>
        <w:t>Discussion</w:t>
      </w:r>
    </w:p>
    <w:p w14:paraId="172370C9" w14:textId="77777777" w:rsidR="00E90E49" w:rsidRPr="00CE0424" w:rsidRDefault="00E90E49" w:rsidP="00E90E49"/>
    <w:p w14:paraId="45AA8485" w14:textId="77777777" w:rsidR="00E90E49" w:rsidRPr="00CE0424" w:rsidRDefault="00230D18" w:rsidP="00CE0424">
      <w:pPr>
        <w:pStyle w:val="Heading1"/>
      </w:pPr>
      <w:r>
        <w:t>1</w:t>
      </w:r>
      <w:r>
        <w:tab/>
      </w:r>
      <w:r w:rsidR="00E90E49" w:rsidRPr="00CE0424">
        <w:t>Introduction</w:t>
      </w:r>
    </w:p>
    <w:p w14:paraId="39AAB051" w14:textId="4446F730" w:rsidR="00477768" w:rsidRPr="000E387C" w:rsidRDefault="00407F4B" w:rsidP="00CE0424">
      <w:pPr>
        <w:pStyle w:val="BodyText"/>
        <w:rPr>
          <w:i/>
          <w:iCs/>
        </w:rPr>
      </w:pPr>
      <w:r>
        <w:t>In Rel.17 support for Mul</w:t>
      </w:r>
      <w:r w:rsidR="00A92660">
        <w:t>t</w:t>
      </w:r>
      <w:r>
        <w:t>icast and Broadcast services (MBS) is added. In this paper we present our thoughts on</w:t>
      </w:r>
      <w:r w:rsidR="00A92660">
        <w:t xml:space="preserve"> the </w:t>
      </w:r>
      <w:r w:rsidR="007354E1">
        <w:t xml:space="preserve">continued </w:t>
      </w:r>
      <w:r w:rsidR="00A92660">
        <w:t xml:space="preserve">development in Rel.18. We think </w:t>
      </w:r>
      <w:r w:rsidR="00245B52">
        <w:t xml:space="preserve">support for an extended cyclic prefix </w:t>
      </w:r>
      <w:r w:rsidR="00245B52" w:rsidRPr="006A0C92">
        <w:t>should be added, but no need to explore additional sub-carrier spacings. Regarding bands</w:t>
      </w:r>
      <w:r w:rsidR="00147073" w:rsidRPr="006A0C92">
        <w:t>,</w:t>
      </w:r>
      <w:r w:rsidR="00245B52" w:rsidRPr="006A0C92">
        <w:t xml:space="preserve"> support for NR on 450-470 MHz band should be added and support for </w:t>
      </w:r>
      <w:r w:rsidR="0001664E" w:rsidRPr="006A0C92">
        <w:t xml:space="preserve">LTE unicast and NR </w:t>
      </w:r>
      <w:r w:rsidR="006A0C92" w:rsidRPr="006A0C92">
        <w:t xml:space="preserve">on </w:t>
      </w:r>
      <w:r w:rsidR="007354E1" w:rsidRPr="006A0C92">
        <w:t xml:space="preserve">470-694/698 </w:t>
      </w:r>
      <w:r w:rsidR="006A0C92" w:rsidRPr="006A0C92">
        <w:t xml:space="preserve">MHz </w:t>
      </w:r>
      <w:r w:rsidR="007354E1" w:rsidRPr="006A0C92">
        <w:t xml:space="preserve">should be </w:t>
      </w:r>
      <w:r w:rsidR="006A0C92" w:rsidRPr="006A0C92">
        <w:t>specified</w:t>
      </w:r>
      <w:r w:rsidR="007354E1" w:rsidRPr="006A0C92">
        <w:t>.</w:t>
      </w:r>
    </w:p>
    <w:p w14:paraId="643AF0A2" w14:textId="173BCDF2" w:rsidR="004000E8" w:rsidRDefault="00230D18" w:rsidP="00CE0424">
      <w:pPr>
        <w:pStyle w:val="Heading1"/>
      </w:pPr>
      <w:bookmarkStart w:id="0" w:name="_Ref178064866"/>
      <w:r>
        <w:t>2</w:t>
      </w:r>
      <w:r>
        <w:tab/>
      </w:r>
      <w:r w:rsidR="004000E8" w:rsidRPr="00CE0424">
        <w:t>Discussion</w:t>
      </w:r>
      <w:bookmarkEnd w:id="0"/>
    </w:p>
    <w:p w14:paraId="6FA6D711" w14:textId="7B41EF33" w:rsidR="000E387C" w:rsidRPr="00D36229" w:rsidRDefault="000E387C" w:rsidP="000E387C">
      <w:pPr>
        <w:pStyle w:val="Heading2"/>
        <w:rPr>
          <w:lang w:val="en-US"/>
        </w:rPr>
      </w:pPr>
      <w:r>
        <w:rPr>
          <w:lang w:val="en-US"/>
        </w:rPr>
        <w:t>2.1</w:t>
      </w:r>
      <w:r>
        <w:rPr>
          <w:lang w:val="en-US"/>
        </w:rPr>
        <w:tab/>
      </w:r>
      <w:r w:rsidRPr="00D36229">
        <w:rPr>
          <w:lang w:val="en-US"/>
        </w:rPr>
        <w:t>About SFN support</w:t>
      </w:r>
    </w:p>
    <w:p w14:paraId="5EBAFE51" w14:textId="52C2F240" w:rsidR="000E387C" w:rsidRDefault="000E387C" w:rsidP="000E387C">
      <w:pPr>
        <w:pStyle w:val="BodyText"/>
        <w:rPr>
          <w:lang w:val="en-US"/>
        </w:rPr>
      </w:pPr>
      <w:r>
        <w:rPr>
          <w:lang w:val="en-US"/>
        </w:rPr>
        <w:t>It is well-known that the use of Single Frequency Networks (SFN) can provide important coverage, Quality of Service (QoS) and spectral-efficiency improvements, compared to non-SFN, for cases with identical content across multiple cells. For Public Safety services, such as e.g. Mission Critical Push-to-Talk (MCPTT), the use of SFN is very beneficial for challenging reception conditions, including in-door, especially in rural parts of a network with macro sites and large ISDs.</w:t>
      </w:r>
    </w:p>
    <w:p w14:paraId="46BB5998" w14:textId="6B595A99" w:rsidR="000E387C" w:rsidRDefault="000E387C" w:rsidP="000E387C">
      <w:pPr>
        <w:pStyle w:val="BodyText"/>
        <w:rPr>
          <w:lang w:val="en-US"/>
        </w:rPr>
      </w:pPr>
      <w:r w:rsidRPr="00B40FB6">
        <w:rPr>
          <w:lang w:val="en-US"/>
        </w:rPr>
        <w:t xml:space="preserve">In the Rel.17 Work Item </w:t>
      </w:r>
      <w:r>
        <w:rPr>
          <w:lang w:val="en-US"/>
        </w:rPr>
        <w:t xml:space="preserve">for MBS </w:t>
      </w:r>
      <w:r w:rsidRPr="00B40FB6">
        <w:rPr>
          <w:lang w:val="en-US"/>
        </w:rPr>
        <w:t>(</w:t>
      </w:r>
      <w:hyperlink r:id="rId11" w:history="1">
        <w:r w:rsidRPr="00542950">
          <w:rPr>
            <w:rStyle w:val="Hyperlink"/>
            <w:lang w:val="en-US"/>
          </w:rPr>
          <w:t>RP-193248</w:t>
        </w:r>
      </w:hyperlink>
      <w:r>
        <w:rPr>
          <w:lang w:val="en-US"/>
        </w:rPr>
        <w:t xml:space="preserve">) it is stated: </w:t>
      </w:r>
    </w:p>
    <w:p w14:paraId="1C68F2D7" w14:textId="77777777" w:rsidR="000E387C" w:rsidRPr="000E387C" w:rsidRDefault="000E387C" w:rsidP="000E387C">
      <w:pPr>
        <w:pStyle w:val="BodyText"/>
        <w:ind w:left="567"/>
        <w:rPr>
          <w:i/>
          <w:iCs/>
          <w:lang w:val="en-US"/>
        </w:rPr>
      </w:pPr>
      <w:r w:rsidRPr="000E387C">
        <w:rPr>
          <w:i/>
          <w:iCs/>
          <w:lang w:val="en-US"/>
        </w:rPr>
        <w:t>SFN provides synchronized delivery of user plane packets over the air from different cells. No standardized support specifically for SFN, is provided in this WI. Any SFN operation is transparent to the UE, and any related synchronization is left to network implementation. The existing QCL framework (based on SSB and CSI-RS) is reused.</w:t>
      </w:r>
    </w:p>
    <w:p w14:paraId="0138D4B0" w14:textId="77777777" w:rsidR="000E387C" w:rsidRDefault="000E387C" w:rsidP="000E387C">
      <w:pPr>
        <w:pStyle w:val="BodyText"/>
        <w:rPr>
          <w:lang w:val="en-US"/>
        </w:rPr>
      </w:pPr>
      <w:r>
        <w:rPr>
          <w:lang w:val="en-US"/>
        </w:rPr>
        <w:t>and</w:t>
      </w:r>
    </w:p>
    <w:p w14:paraId="7C440859" w14:textId="77777777" w:rsidR="000E387C" w:rsidRPr="000E387C" w:rsidRDefault="000E387C" w:rsidP="000E387C">
      <w:pPr>
        <w:pStyle w:val="BodyText"/>
        <w:ind w:left="567"/>
        <w:rPr>
          <w:i/>
          <w:iCs/>
          <w:lang w:val="en-US"/>
        </w:rPr>
      </w:pPr>
      <w:r w:rsidRPr="000E387C">
        <w:rPr>
          <w:i/>
          <w:iCs/>
          <w:lang w:val="en-US"/>
        </w:rPr>
        <w:t>Any design decisions taken for this WI in Release 17 shall not prevent introducing the following features in future Releases:</w:t>
      </w:r>
    </w:p>
    <w:p w14:paraId="5901492D" w14:textId="77777777" w:rsidR="000E387C" w:rsidRPr="000E387C" w:rsidRDefault="000E387C" w:rsidP="000E387C">
      <w:pPr>
        <w:pStyle w:val="BodyText"/>
        <w:numPr>
          <w:ilvl w:val="0"/>
          <w:numId w:val="24"/>
        </w:numPr>
        <w:ind w:left="1287"/>
        <w:rPr>
          <w:i/>
          <w:iCs/>
          <w:lang w:val="en-US"/>
        </w:rPr>
      </w:pPr>
      <w:proofErr w:type="spellStart"/>
      <w:r w:rsidRPr="000E387C">
        <w:rPr>
          <w:i/>
          <w:iCs/>
          <w:lang w:val="en-US"/>
        </w:rPr>
        <w:t>Standardised</w:t>
      </w:r>
      <w:proofErr w:type="spellEnd"/>
      <w:r w:rsidRPr="000E387C">
        <w:rPr>
          <w:i/>
          <w:iCs/>
          <w:lang w:val="en-US"/>
        </w:rPr>
        <w:t xml:space="preserve"> support of SFN over multiple cells above gNB-DU </w:t>
      </w:r>
      <w:proofErr w:type="gramStart"/>
      <w:r w:rsidRPr="000E387C">
        <w:rPr>
          <w:i/>
          <w:iCs/>
          <w:lang w:val="en-US"/>
        </w:rPr>
        <w:t>level;</w:t>
      </w:r>
      <w:proofErr w:type="gramEnd"/>
    </w:p>
    <w:p w14:paraId="24FD13DF" w14:textId="77777777" w:rsidR="000E387C" w:rsidRDefault="000E387C" w:rsidP="000E387C">
      <w:pPr>
        <w:pStyle w:val="BodyText"/>
        <w:rPr>
          <w:lang w:val="en-US"/>
        </w:rPr>
      </w:pPr>
      <w:r>
        <w:rPr>
          <w:lang w:val="en-US"/>
        </w:rPr>
        <w:t>We expect that Rel. 17 SFN operation of NR multicast/broadcast will be possible, based on network implementation. However, due to the reuse of legacy numerologies in Rel.17, any such SFN will need to be limited in size and/or inter-site distance (ISD). For e.g. challenging Public Safety use cases, as mentioned above, one may therefore consider enhancements of current NR numerologies. Any such enhancements have however to be balanced against UE complexity.</w:t>
      </w:r>
    </w:p>
    <w:p w14:paraId="1BF01620" w14:textId="77777777" w:rsidR="000E387C" w:rsidRDefault="000E387C" w:rsidP="000E387C">
      <w:pPr>
        <w:pStyle w:val="BodyText"/>
        <w:rPr>
          <w:lang w:val="en-US"/>
        </w:rPr>
      </w:pPr>
      <w:r>
        <w:rPr>
          <w:lang w:val="en-US"/>
        </w:rPr>
        <w:t>In the Rel.17 WID it is furthermore stated:</w:t>
      </w:r>
    </w:p>
    <w:p w14:paraId="648D815F" w14:textId="77777777" w:rsidR="000E387C" w:rsidRPr="00876316" w:rsidRDefault="000E387C" w:rsidP="000E387C">
      <w:pPr>
        <w:pStyle w:val="BodyText"/>
        <w:ind w:left="567"/>
        <w:rPr>
          <w:i/>
          <w:iCs/>
          <w:lang w:val="en-US"/>
        </w:rPr>
      </w:pPr>
      <w:proofErr w:type="gramStart"/>
      <w:r w:rsidRPr="00876316">
        <w:rPr>
          <w:i/>
          <w:iCs/>
          <w:lang w:val="en-US"/>
        </w:rPr>
        <w:t>In order to</w:t>
      </w:r>
      <w:proofErr w:type="gramEnd"/>
      <w:r w:rsidRPr="00876316">
        <w:rPr>
          <w:i/>
          <w:iCs/>
          <w:lang w:val="en-US"/>
        </w:rPr>
        <w:t xml:space="preserve"> facilitate implementation and deployment of the feature, the overall implementation impact should be limited, and the UE complexity should be minimized (e.g. device hardware impact should be avoided). </w:t>
      </w:r>
    </w:p>
    <w:p w14:paraId="23A8F8BF" w14:textId="5014D809" w:rsidR="000E387C" w:rsidRDefault="000E387C" w:rsidP="000E387C">
      <w:pPr>
        <w:pStyle w:val="BodyText"/>
        <w:rPr>
          <w:lang w:val="en-US"/>
        </w:rPr>
      </w:pPr>
      <w:r>
        <w:rPr>
          <w:lang w:val="en-US"/>
        </w:rPr>
        <w:lastRenderedPageBreak/>
        <w:t>We believe the same approach should be taken in Rel.18. A reasonable balance could be to keep the set of current Rel.15 NR sub-carrier spacing</w:t>
      </w:r>
      <w:r w:rsidR="00C83325">
        <w:rPr>
          <w:lang w:val="en-US"/>
        </w:rPr>
        <w:t>s</w:t>
      </w:r>
      <w:r>
        <w:rPr>
          <w:lang w:val="en-US"/>
        </w:rPr>
        <w:t xml:space="preserve"> (S</w:t>
      </w:r>
      <w:r w:rsidR="00960CDF">
        <w:rPr>
          <w:lang w:val="en-US"/>
        </w:rPr>
        <w:t>C</w:t>
      </w:r>
      <w:r>
        <w:rPr>
          <w:lang w:val="en-US"/>
        </w:rPr>
        <w:t xml:space="preserve">S) while specifying an extended </w:t>
      </w:r>
      <w:r w:rsidR="00026419">
        <w:rPr>
          <w:lang w:val="en-US"/>
        </w:rPr>
        <w:t>cyclic prefix (</w:t>
      </w:r>
      <w:r>
        <w:rPr>
          <w:lang w:val="en-US"/>
        </w:rPr>
        <w:t>CP</w:t>
      </w:r>
      <w:r w:rsidR="00026419">
        <w:rPr>
          <w:lang w:val="en-US"/>
        </w:rPr>
        <w:t>)</w:t>
      </w:r>
      <w:r>
        <w:rPr>
          <w:lang w:val="en-US"/>
        </w:rPr>
        <w:t xml:space="preserve"> for the 15 kHz SCS.</w:t>
      </w:r>
    </w:p>
    <w:p w14:paraId="3EDC4BF4" w14:textId="3B9B355F" w:rsidR="005A294E" w:rsidRPr="00C15741" w:rsidRDefault="000E387C" w:rsidP="000E387C">
      <w:pPr>
        <w:pStyle w:val="BodyText"/>
        <w:rPr>
          <w:lang w:val="en-US"/>
        </w:rPr>
      </w:pPr>
      <w:r>
        <w:rPr>
          <w:lang w:val="en-US"/>
        </w:rPr>
        <w:t xml:space="preserve">This would allow the CP to be extended from current 4.66… </w:t>
      </w:r>
      <w:r>
        <w:rPr>
          <w:rFonts w:cstheme="minorHAnsi"/>
          <w:lang w:val="en-US"/>
        </w:rPr>
        <w:t>µ</w:t>
      </w:r>
      <w:r>
        <w:rPr>
          <w:lang w:val="en-US"/>
        </w:rPr>
        <w:t xml:space="preserve">s to 16.66… </w:t>
      </w:r>
      <w:r>
        <w:rPr>
          <w:rFonts w:cstheme="minorHAnsi"/>
          <w:lang w:val="en-US"/>
        </w:rPr>
        <w:t>µ</w:t>
      </w:r>
      <w:r>
        <w:rPr>
          <w:lang w:val="en-US"/>
        </w:rPr>
        <w:t xml:space="preserve">s, which translated to distance </w:t>
      </w:r>
      <w:proofErr w:type="spellStart"/>
      <w:r w:rsidR="00C64DD2">
        <w:rPr>
          <w:lang w:val="en-US"/>
        </w:rPr>
        <w:t>d_</w:t>
      </w:r>
      <w:r w:rsidR="00C64DD2" w:rsidRPr="00C64DD2">
        <w:rPr>
          <w:lang w:val="en-US"/>
        </w:rPr>
        <w:t>CP</w:t>
      </w:r>
      <w:proofErr w:type="spellEnd"/>
      <w:r w:rsidR="00C64DD2">
        <w:rPr>
          <w:lang w:val="en-US"/>
        </w:rPr>
        <w:t xml:space="preserve"> </w:t>
      </w:r>
      <w:r>
        <w:rPr>
          <w:lang w:val="en-US"/>
        </w:rPr>
        <w:t>(multiplication with the speed of light) implies an increase from 1.</w:t>
      </w:r>
      <w:r w:rsidRPr="00C15741">
        <w:rPr>
          <w:lang w:val="en-US"/>
        </w:rPr>
        <w:t>4 km to 5.0 km.</w:t>
      </w:r>
      <w:r w:rsidR="00980C03" w:rsidRPr="00C15741">
        <w:rPr>
          <w:lang w:val="en-US"/>
        </w:rPr>
        <w:t xml:space="preserve"> This distance refers to the </w:t>
      </w:r>
      <w:r w:rsidR="00085570" w:rsidRPr="00C15741">
        <w:rPr>
          <w:lang w:val="en-US"/>
        </w:rPr>
        <w:t xml:space="preserve">maximum </w:t>
      </w:r>
      <w:r w:rsidR="008A0EEF" w:rsidRPr="00C15741">
        <w:rPr>
          <w:lang w:val="en-US"/>
        </w:rPr>
        <w:t xml:space="preserve">ISD </w:t>
      </w:r>
      <w:r w:rsidR="00A00C65" w:rsidRPr="00C15741">
        <w:rPr>
          <w:lang w:val="en-US"/>
        </w:rPr>
        <w:t xml:space="preserve">where </w:t>
      </w:r>
      <w:r w:rsidR="00C757FF" w:rsidRPr="00C15741">
        <w:rPr>
          <w:lang w:val="en-US"/>
        </w:rPr>
        <w:t xml:space="preserve">a UE </w:t>
      </w:r>
      <w:r w:rsidR="00305F5D" w:rsidRPr="00C15741">
        <w:rPr>
          <w:lang w:val="en-US"/>
        </w:rPr>
        <w:t>w</w:t>
      </w:r>
      <w:r w:rsidR="00C757FF" w:rsidRPr="00C15741">
        <w:rPr>
          <w:lang w:val="en-US"/>
        </w:rPr>
        <w:t>ould not (theoretically</w:t>
      </w:r>
      <w:r w:rsidR="009A7502" w:rsidRPr="00C15741">
        <w:rPr>
          <w:lang w:val="en-US"/>
        </w:rPr>
        <w:t xml:space="preserve">, with ideal </w:t>
      </w:r>
      <w:r w:rsidR="00305F5D" w:rsidRPr="00C15741">
        <w:rPr>
          <w:lang w:val="en-US"/>
        </w:rPr>
        <w:t xml:space="preserve">network and receiver </w:t>
      </w:r>
      <w:r w:rsidR="009A7502" w:rsidRPr="00C15741">
        <w:rPr>
          <w:lang w:val="en-US"/>
        </w:rPr>
        <w:t>synchronization)</w:t>
      </w:r>
      <w:r w:rsidR="00C757FF" w:rsidRPr="00C15741">
        <w:rPr>
          <w:lang w:val="en-US"/>
        </w:rPr>
        <w:t xml:space="preserve"> experience any interference between </w:t>
      </w:r>
      <w:r w:rsidR="008A0EEF" w:rsidRPr="00C15741">
        <w:rPr>
          <w:lang w:val="en-US"/>
        </w:rPr>
        <w:t xml:space="preserve">any pair of adjacent </w:t>
      </w:r>
      <w:r w:rsidR="001E24FA" w:rsidRPr="00C15741">
        <w:rPr>
          <w:lang w:val="en-US"/>
        </w:rPr>
        <w:t>BS signals</w:t>
      </w:r>
      <w:r w:rsidR="00085570" w:rsidRPr="00C15741">
        <w:rPr>
          <w:lang w:val="en-US"/>
        </w:rPr>
        <w:t>, irrespective of relative power levels</w:t>
      </w:r>
      <w:r w:rsidR="005A294E" w:rsidRPr="00C15741">
        <w:rPr>
          <w:lang w:val="en-US"/>
        </w:rPr>
        <w:t xml:space="preserve">, see Fig </w:t>
      </w:r>
      <w:r w:rsidR="00F15BE3" w:rsidRPr="00C15741">
        <w:rPr>
          <w:lang w:val="en-US"/>
        </w:rPr>
        <w:t>1</w:t>
      </w:r>
      <w:r w:rsidR="00085570" w:rsidRPr="00C15741">
        <w:rPr>
          <w:lang w:val="en-US"/>
        </w:rPr>
        <w:t xml:space="preserve">. </w:t>
      </w:r>
      <w:r w:rsidR="001F5CF4" w:rsidRPr="00C15741">
        <w:rPr>
          <w:lang w:val="en-US"/>
        </w:rPr>
        <w:t xml:space="preserve">Considering </w:t>
      </w:r>
      <w:r w:rsidR="00E80FEC" w:rsidRPr="00C15741">
        <w:rPr>
          <w:lang w:val="en-US"/>
        </w:rPr>
        <w:t>the attenuation of distant BS signals</w:t>
      </w:r>
      <w:r w:rsidR="001F5CF4" w:rsidRPr="00C15741">
        <w:rPr>
          <w:lang w:val="en-US"/>
        </w:rPr>
        <w:t xml:space="preserve">, the </w:t>
      </w:r>
      <w:r w:rsidR="009F726B" w:rsidRPr="00C15741">
        <w:rPr>
          <w:lang w:val="en-US"/>
        </w:rPr>
        <w:t xml:space="preserve">size of the </w:t>
      </w:r>
      <w:r w:rsidR="001F5CF4" w:rsidRPr="00C15741">
        <w:rPr>
          <w:lang w:val="en-US"/>
        </w:rPr>
        <w:t>SFN can typically be larger than thi</w:t>
      </w:r>
      <w:r w:rsidR="00205730" w:rsidRPr="00C15741">
        <w:rPr>
          <w:lang w:val="en-US"/>
        </w:rPr>
        <w:t>s</w:t>
      </w:r>
      <w:r w:rsidR="0012669C" w:rsidRPr="00C15741">
        <w:rPr>
          <w:lang w:val="en-US"/>
        </w:rPr>
        <w:t>.</w:t>
      </w:r>
    </w:p>
    <w:p w14:paraId="454FC36A" w14:textId="2083341F" w:rsidR="005A294E" w:rsidRDefault="005A294E" w:rsidP="00C15741">
      <w:pPr>
        <w:pStyle w:val="TF"/>
        <w:rPr>
          <w:lang w:val="en-US"/>
        </w:rPr>
      </w:pPr>
      <w:r w:rsidRPr="00C15741">
        <w:rPr>
          <w:noProof/>
          <w:lang w:eastAsia="en-US"/>
        </w:rPr>
        <w:drawing>
          <wp:inline distT="0" distB="0" distL="0" distR="0" wp14:anchorId="77D6D569" wp14:editId="32848230">
            <wp:extent cx="2886075" cy="2828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886075" cy="2828925"/>
                    </a:xfrm>
                    <a:prstGeom prst="rect">
                      <a:avLst/>
                    </a:prstGeom>
                    <a:noFill/>
                    <a:ln>
                      <a:noFill/>
                    </a:ln>
                  </pic:spPr>
                </pic:pic>
              </a:graphicData>
            </a:graphic>
          </wp:inline>
        </w:drawing>
      </w:r>
    </w:p>
    <w:p w14:paraId="41B40F9F" w14:textId="77777777" w:rsidR="005A294E" w:rsidRDefault="005A294E" w:rsidP="000E387C">
      <w:pPr>
        <w:pStyle w:val="BodyText"/>
        <w:rPr>
          <w:lang w:val="en-US"/>
        </w:rPr>
      </w:pPr>
    </w:p>
    <w:p w14:paraId="0597738F" w14:textId="0EDD298D" w:rsidR="005A294E" w:rsidRDefault="005A294E" w:rsidP="00C15741">
      <w:pPr>
        <w:pStyle w:val="TF"/>
      </w:pPr>
      <w:r>
        <w:t xml:space="preserve">Fig. </w:t>
      </w:r>
      <w:r w:rsidR="00F15BE3">
        <w:t>1</w:t>
      </w:r>
      <w:r>
        <w:t xml:space="preserve"> </w:t>
      </w:r>
      <w:r w:rsidR="009B166C">
        <w:t>–</w:t>
      </w:r>
      <w:r>
        <w:t xml:space="preserve"> </w:t>
      </w:r>
      <w:r w:rsidR="009B166C">
        <w:t xml:space="preserve">The relation </w:t>
      </w:r>
      <w:r w:rsidR="00F15BE3">
        <w:t>d2-d1</w:t>
      </w:r>
      <w:r w:rsidR="009B166C">
        <w:t xml:space="preserve"> </w:t>
      </w:r>
      <w:r w:rsidR="00F15BE3">
        <w:t>&lt;</w:t>
      </w:r>
      <w:r w:rsidR="009B166C">
        <w:t xml:space="preserve"> </w:t>
      </w:r>
      <w:proofErr w:type="spellStart"/>
      <w:r w:rsidR="00F15BE3">
        <w:t>d_CP</w:t>
      </w:r>
      <w:proofErr w:type="spellEnd"/>
      <w:r w:rsidR="00F15BE3">
        <w:t xml:space="preserve"> is required for zero interference. This is true for all point</w:t>
      </w:r>
      <w:r w:rsidR="00775BD0">
        <w:t>s</w:t>
      </w:r>
      <w:r w:rsidR="00F15BE3">
        <w:t xml:space="preserve"> in the triangle made up by the 3 adjacent BS (blue dots) for </w:t>
      </w:r>
      <w:proofErr w:type="spellStart"/>
      <w:r w:rsidR="00F15BE3">
        <w:t>d_CP</w:t>
      </w:r>
      <w:proofErr w:type="spellEnd"/>
      <w:r w:rsidR="009B166C">
        <w:t xml:space="preserve"> </w:t>
      </w:r>
      <w:r w:rsidR="00F15BE3">
        <w:t>&gt;</w:t>
      </w:r>
      <w:r w:rsidR="009B166C">
        <w:t xml:space="preserve"> </w:t>
      </w:r>
      <w:proofErr w:type="spellStart"/>
      <w:r w:rsidR="00F15BE3">
        <w:t>d_ISD</w:t>
      </w:r>
      <w:proofErr w:type="spellEnd"/>
      <w:r w:rsidR="009B166C">
        <w:t xml:space="preserve"> </w:t>
      </w:r>
      <w:r w:rsidR="00F15BE3">
        <w:t>=</w:t>
      </w:r>
      <w:r w:rsidR="009B166C">
        <w:t xml:space="preserve"> </w:t>
      </w:r>
      <w:r w:rsidR="00F15BE3">
        <w:t>d1+d2.</w:t>
      </w:r>
    </w:p>
    <w:p w14:paraId="6718D8AA" w14:textId="3CDE6EAA" w:rsidR="000E387C" w:rsidRDefault="000E387C" w:rsidP="000E387C">
      <w:pPr>
        <w:pStyle w:val="BodyText"/>
        <w:rPr>
          <w:lang w:val="en-US"/>
        </w:rPr>
      </w:pPr>
      <w:r>
        <w:rPr>
          <w:lang w:val="en-US"/>
        </w:rPr>
        <w:t xml:space="preserve">We think that introducing an extended CP in this </w:t>
      </w:r>
      <w:r w:rsidR="0011691A">
        <w:rPr>
          <w:lang w:val="en-US"/>
        </w:rPr>
        <w:t xml:space="preserve">way </w:t>
      </w:r>
      <w:r>
        <w:rPr>
          <w:lang w:val="en-US"/>
        </w:rPr>
        <w:t>would allow for reasonably sized SFNs, to cater for the foreseeable Public Safety use cases and other potential use case</w:t>
      </w:r>
      <w:r w:rsidR="00F13830">
        <w:rPr>
          <w:lang w:val="en-US"/>
        </w:rPr>
        <w:t>s</w:t>
      </w:r>
      <w:r>
        <w:rPr>
          <w:lang w:val="en-US"/>
        </w:rPr>
        <w:t xml:space="preserve"> using a cellular infrastructure.</w:t>
      </w:r>
    </w:p>
    <w:p w14:paraId="4ABE307B" w14:textId="41479E9A" w:rsidR="00EA230C" w:rsidRDefault="000E387C" w:rsidP="000E387C">
      <w:pPr>
        <w:pStyle w:val="BodyText"/>
        <w:rPr>
          <w:lang w:val="en-US"/>
        </w:rPr>
      </w:pPr>
      <w:r>
        <w:rPr>
          <w:lang w:val="en-US"/>
        </w:rPr>
        <w:t>To cater for backwards-compatibility of pre-Rel.18 UEs (i.e. UEs not supporting the new CP), there will be a need to use a frame structure with mixed numerologies, so that – if needed</w:t>
      </w:r>
      <w:r w:rsidR="0011691A">
        <w:rPr>
          <w:lang w:val="en-US"/>
        </w:rPr>
        <w:t xml:space="preserve"> – </w:t>
      </w:r>
      <w:r>
        <w:rPr>
          <w:lang w:val="en-US"/>
        </w:rPr>
        <w:t>some slots would be transmitted with legacy Rel.17 numerologies and other slots with the new Rel.18 extended CP. Since the numerology is varying across slots, this implies that the transmitted signal uses different Bandwidth Parts (BWPs), as a function of the used numerology.</w:t>
      </w:r>
      <w:r w:rsidR="006E1705">
        <w:rPr>
          <w:lang w:val="en-US"/>
        </w:rPr>
        <w:t xml:space="preserve"> </w:t>
      </w:r>
      <w:r>
        <w:rPr>
          <w:lang w:val="en-US"/>
        </w:rPr>
        <w:t>Pre-Rel.18 UEs could then receive the legacy numerology slots as usual, and just ignore the slots with the new extended CP.</w:t>
      </w:r>
      <w:r w:rsidR="006E1705">
        <w:rPr>
          <w:lang w:val="en-US"/>
        </w:rPr>
        <w:t xml:space="preserve"> </w:t>
      </w:r>
      <w:r>
        <w:rPr>
          <w:lang w:val="en-US"/>
        </w:rPr>
        <w:t>Rel.18 UEs, on the other hand, could receive both types of slots.</w:t>
      </w:r>
    </w:p>
    <w:p w14:paraId="1B9AC227" w14:textId="739C40C0" w:rsidR="00952BEE" w:rsidRDefault="00952BEE" w:rsidP="000E387C">
      <w:pPr>
        <w:pStyle w:val="BodyText"/>
        <w:rPr>
          <w:lang w:val="en-US"/>
        </w:rPr>
      </w:pPr>
      <w:r w:rsidRPr="00B17F7A">
        <w:rPr>
          <w:lang w:val="en-US"/>
        </w:rPr>
        <w:t>Regarding possible Rel.18 architectural and/or network signaling support,</w:t>
      </w:r>
      <w:r>
        <w:rPr>
          <w:lang w:val="en-US"/>
        </w:rPr>
        <w:t xml:space="preserve"> </w:t>
      </w:r>
      <w:r w:rsidRPr="00B17F7A">
        <w:rPr>
          <w:lang w:val="en-US"/>
        </w:rPr>
        <w:t>specifically targeting SFN, we think the target use cases for NR</w:t>
      </w:r>
      <w:r>
        <w:rPr>
          <w:lang w:val="en-US"/>
        </w:rPr>
        <w:t xml:space="preserve"> </w:t>
      </w:r>
      <w:r w:rsidRPr="00B17F7A">
        <w:rPr>
          <w:lang w:val="en-US"/>
        </w:rPr>
        <w:t>multicast/broadcast are the same as for Rel.17 and SFNs would typically be</w:t>
      </w:r>
      <w:r>
        <w:rPr>
          <w:lang w:val="en-US"/>
        </w:rPr>
        <w:t xml:space="preserve"> </w:t>
      </w:r>
      <w:r w:rsidRPr="00B17F7A">
        <w:rPr>
          <w:lang w:val="en-US"/>
        </w:rPr>
        <w:t>relatively small and limited to be within one gNB-CU. This requires neither</w:t>
      </w:r>
      <w:r>
        <w:rPr>
          <w:lang w:val="en-US"/>
        </w:rPr>
        <w:t xml:space="preserve"> </w:t>
      </w:r>
      <w:r w:rsidRPr="00B17F7A">
        <w:rPr>
          <w:lang w:val="en-US"/>
        </w:rPr>
        <w:t xml:space="preserve">inter-gNB signaling </w:t>
      </w:r>
      <w:r w:rsidR="00BD17CC">
        <w:rPr>
          <w:lang w:val="en-US"/>
        </w:rPr>
        <w:t>n</w:t>
      </w:r>
      <w:r w:rsidRPr="00B17F7A">
        <w:rPr>
          <w:lang w:val="en-US"/>
        </w:rPr>
        <w:t>or frequent reconfigurations of the SFN area, hence</w:t>
      </w:r>
      <w:r>
        <w:rPr>
          <w:lang w:val="en-US"/>
        </w:rPr>
        <w:t xml:space="preserve"> </w:t>
      </w:r>
      <w:r w:rsidRPr="00B17F7A">
        <w:rPr>
          <w:lang w:val="en-US"/>
        </w:rPr>
        <w:t xml:space="preserve">the lack of need for network signaling additions. </w:t>
      </w:r>
      <w:proofErr w:type="gramStart"/>
      <w:r w:rsidRPr="00B17F7A">
        <w:rPr>
          <w:lang w:val="en-US"/>
        </w:rPr>
        <w:t>Similar to</w:t>
      </w:r>
      <w:proofErr w:type="gramEnd"/>
      <w:r w:rsidRPr="00B17F7A">
        <w:rPr>
          <w:lang w:val="en-US"/>
        </w:rPr>
        <w:t xml:space="preserve"> Rel.17, we also</w:t>
      </w:r>
      <w:r>
        <w:rPr>
          <w:lang w:val="en-US"/>
        </w:rPr>
        <w:t xml:space="preserve"> </w:t>
      </w:r>
      <w:r w:rsidRPr="00B17F7A">
        <w:rPr>
          <w:lang w:val="en-US"/>
        </w:rPr>
        <w:t>think network synchronization aspects, to achieve the required</w:t>
      </w:r>
      <w:r>
        <w:rPr>
          <w:lang w:val="en-US"/>
        </w:rPr>
        <w:t xml:space="preserve"> </w:t>
      </w:r>
      <w:r w:rsidRPr="00B17F7A">
        <w:rPr>
          <w:lang w:val="en-US"/>
        </w:rPr>
        <w:t>characteristics of transmitted SFN signals, should be left to proprietary</w:t>
      </w:r>
      <w:r>
        <w:rPr>
          <w:lang w:val="en-US"/>
        </w:rPr>
        <w:t xml:space="preserve"> </w:t>
      </w:r>
      <w:r w:rsidRPr="00B17F7A">
        <w:rPr>
          <w:lang w:val="en-US"/>
        </w:rPr>
        <w:t>implementation in Rel.18. To support large area HPHT SFN implementations,</w:t>
      </w:r>
      <w:r>
        <w:rPr>
          <w:lang w:val="en-US"/>
        </w:rPr>
        <w:t xml:space="preserve"> </w:t>
      </w:r>
      <w:r w:rsidRPr="00B17F7A">
        <w:rPr>
          <w:lang w:val="en-US"/>
        </w:rPr>
        <w:t xml:space="preserve">substantial numerology changes, </w:t>
      </w:r>
      <w:proofErr w:type="gramStart"/>
      <w:r w:rsidRPr="00B17F7A">
        <w:rPr>
          <w:lang w:val="en-US"/>
        </w:rPr>
        <w:t>similar to</w:t>
      </w:r>
      <w:proofErr w:type="gramEnd"/>
      <w:r w:rsidRPr="00B17F7A">
        <w:rPr>
          <w:lang w:val="en-US"/>
        </w:rPr>
        <w:t xml:space="preserve"> those already supported by LTE,</w:t>
      </w:r>
      <w:r>
        <w:rPr>
          <w:lang w:val="en-US"/>
        </w:rPr>
        <w:t xml:space="preserve"> </w:t>
      </w:r>
      <w:r w:rsidRPr="00B17F7A">
        <w:rPr>
          <w:lang w:val="en-US"/>
        </w:rPr>
        <w:t>are required. Any architectural/network enhancements to support such use</w:t>
      </w:r>
      <w:r>
        <w:rPr>
          <w:lang w:val="en-US"/>
        </w:rPr>
        <w:t xml:space="preserve"> </w:t>
      </w:r>
      <w:r w:rsidRPr="00B17F7A">
        <w:rPr>
          <w:lang w:val="en-US"/>
        </w:rPr>
        <w:t>cases would need to go together with corresponding numerology changes,</w:t>
      </w:r>
      <w:r>
        <w:rPr>
          <w:lang w:val="en-US"/>
        </w:rPr>
        <w:t xml:space="preserve"> </w:t>
      </w:r>
      <w:r w:rsidRPr="00B17F7A">
        <w:rPr>
          <w:lang w:val="en-US"/>
        </w:rPr>
        <w:t>which we do not support. In summary, we do not foresee any standardization need</w:t>
      </w:r>
      <w:r>
        <w:rPr>
          <w:lang w:val="en-US"/>
        </w:rPr>
        <w:t xml:space="preserve"> </w:t>
      </w:r>
      <w:r w:rsidRPr="00B17F7A">
        <w:rPr>
          <w:lang w:val="en-US"/>
        </w:rPr>
        <w:t>for architectural/network signaling-related functionality in Rel.18</w:t>
      </w:r>
      <w:r>
        <w:rPr>
          <w:lang w:val="en-US"/>
        </w:rPr>
        <w:t>.</w:t>
      </w:r>
    </w:p>
    <w:p w14:paraId="24CBEDBD" w14:textId="0DE269EA" w:rsidR="00261D9D" w:rsidRDefault="00261D9D" w:rsidP="000938A7">
      <w:pPr>
        <w:pStyle w:val="Proposal"/>
        <w:rPr>
          <w:lang w:val="en-US"/>
        </w:rPr>
      </w:pPr>
      <w:bookmarkStart w:id="1" w:name="_Toc73993812"/>
      <w:r>
        <w:rPr>
          <w:lang w:val="en-US"/>
        </w:rPr>
        <w:t>A Rel.18 work item on MBS should specify an extended cyclic prefix to improve performance in small SFN</w:t>
      </w:r>
      <w:r w:rsidR="00E9780C">
        <w:rPr>
          <w:lang w:val="en-US"/>
        </w:rPr>
        <w:t>s</w:t>
      </w:r>
      <w:r>
        <w:rPr>
          <w:lang w:val="en-US"/>
        </w:rPr>
        <w:t>.</w:t>
      </w:r>
      <w:bookmarkEnd w:id="1"/>
    </w:p>
    <w:p w14:paraId="4741FB4B" w14:textId="2D4F25B2" w:rsidR="007003FD" w:rsidRDefault="00F0036F" w:rsidP="000938A7">
      <w:pPr>
        <w:pStyle w:val="Proposal"/>
        <w:rPr>
          <w:lang w:val="en-US"/>
        </w:rPr>
      </w:pPr>
      <w:bookmarkStart w:id="2" w:name="_Toc73993813"/>
      <w:r>
        <w:rPr>
          <w:lang w:val="en-US"/>
        </w:rPr>
        <w:t xml:space="preserve">A Rel.18 work item on MBS should not specify </w:t>
      </w:r>
      <w:r w:rsidR="000938A7">
        <w:rPr>
          <w:lang w:val="en-US"/>
        </w:rPr>
        <w:t>new sub-carrier spacings.</w:t>
      </w:r>
      <w:bookmarkEnd w:id="2"/>
    </w:p>
    <w:p w14:paraId="034A3229" w14:textId="358BB0C7" w:rsidR="00C15741" w:rsidRPr="000E387C" w:rsidRDefault="00C15741" w:rsidP="000938A7">
      <w:pPr>
        <w:pStyle w:val="Proposal"/>
        <w:rPr>
          <w:lang w:val="en-US"/>
        </w:rPr>
      </w:pPr>
      <w:bookmarkStart w:id="3" w:name="_Toc73993814"/>
      <w:r>
        <w:rPr>
          <w:lang w:val="en-US"/>
        </w:rPr>
        <w:t xml:space="preserve">A Rel.18 work item on MBS should not specify </w:t>
      </w:r>
      <w:r w:rsidR="00D3392C">
        <w:rPr>
          <w:lang w:val="en-US"/>
        </w:rPr>
        <w:t>additional architecture aspects nor additional network signaling (e.g. synchronization).</w:t>
      </w:r>
      <w:bookmarkEnd w:id="3"/>
    </w:p>
    <w:p w14:paraId="68B21CEE" w14:textId="70878ED5" w:rsidR="000E387C" w:rsidRPr="00FA78D2" w:rsidRDefault="000E387C" w:rsidP="000E387C">
      <w:pPr>
        <w:pStyle w:val="Heading2"/>
        <w:rPr>
          <w:lang w:val="en-US"/>
        </w:rPr>
      </w:pPr>
      <w:r>
        <w:rPr>
          <w:lang w:val="en-US"/>
        </w:rPr>
        <w:lastRenderedPageBreak/>
        <w:t>2.2</w:t>
      </w:r>
      <w:r>
        <w:tab/>
      </w:r>
      <w:r w:rsidRPr="00FA78D2">
        <w:rPr>
          <w:lang w:val="en-US"/>
        </w:rPr>
        <w:t>Rel.17 leftovers</w:t>
      </w:r>
    </w:p>
    <w:p w14:paraId="4A7A561A" w14:textId="468CEF23" w:rsidR="000E387C" w:rsidRDefault="000E387C" w:rsidP="000E387C">
      <w:pPr>
        <w:pStyle w:val="BodyText"/>
        <w:rPr>
          <w:lang w:val="en-US"/>
        </w:rPr>
      </w:pPr>
      <w:r>
        <w:rPr>
          <w:lang w:val="en-US"/>
        </w:rPr>
        <w:t xml:space="preserve">Since Rel.17 is far from completed, it is difficult to judge, at this stage, whether there will be “leftovers” from Rel.17 that should instead be specified in Rel.18. If there are any remaining aspects of the </w:t>
      </w:r>
      <w:proofErr w:type="spellStart"/>
      <w:r>
        <w:rPr>
          <w:lang w:val="en-US"/>
        </w:rPr>
        <w:t>Uu</w:t>
      </w:r>
      <w:proofErr w:type="spellEnd"/>
      <w:r>
        <w:rPr>
          <w:lang w:val="en-US"/>
        </w:rPr>
        <w:t xml:space="preserve"> interface that would be necessary to make inter-cell SFNs work, th</w:t>
      </w:r>
      <w:r w:rsidR="00C461D6">
        <w:rPr>
          <w:lang w:val="en-US"/>
        </w:rPr>
        <w:t>ese</w:t>
      </w:r>
      <w:r>
        <w:rPr>
          <w:lang w:val="en-US"/>
        </w:rPr>
        <w:t xml:space="preserve"> should also be added to Rel.18.</w:t>
      </w:r>
    </w:p>
    <w:p w14:paraId="52461111" w14:textId="0717D773" w:rsidR="000E387C" w:rsidRDefault="003F1A81" w:rsidP="000E387C">
      <w:pPr>
        <w:pStyle w:val="BodyText"/>
        <w:rPr>
          <w:lang w:val="en-US"/>
        </w:rPr>
      </w:pPr>
      <w:r>
        <w:rPr>
          <w:lang w:val="en-US"/>
        </w:rPr>
        <w:t>W</w:t>
      </w:r>
      <w:r w:rsidR="000E387C">
        <w:rPr>
          <w:lang w:val="en-US"/>
        </w:rPr>
        <w:t>e cannot exclude that there will also be other aspects that will emerge as Rel.17 leftovers and would like to keep the door open for this, although this discussion can wait until more close to the end of the Rel.17 work.</w:t>
      </w:r>
      <w:r w:rsidR="00CB514E">
        <w:rPr>
          <w:lang w:val="en-US"/>
        </w:rPr>
        <w:t xml:space="preserve"> </w:t>
      </w:r>
      <w:proofErr w:type="gramStart"/>
      <w:r w:rsidR="00CB514E">
        <w:rPr>
          <w:lang w:val="en-US"/>
        </w:rPr>
        <w:t>Generally speaking, leftovers</w:t>
      </w:r>
      <w:proofErr w:type="gramEnd"/>
      <w:r w:rsidR="00CB514E">
        <w:rPr>
          <w:lang w:val="en-US"/>
        </w:rPr>
        <w:t xml:space="preserve"> </w:t>
      </w:r>
      <w:r w:rsidR="00903C9E">
        <w:rPr>
          <w:lang w:val="en-US"/>
        </w:rPr>
        <w:t xml:space="preserve">from Rel.17 </w:t>
      </w:r>
      <w:r w:rsidR="00CB514E">
        <w:rPr>
          <w:lang w:val="en-US"/>
        </w:rPr>
        <w:t xml:space="preserve">do not have </w:t>
      </w:r>
      <w:r w:rsidR="00903C9E">
        <w:rPr>
          <w:lang w:val="en-US"/>
        </w:rPr>
        <w:t xml:space="preserve">a free pass to Rel.18 but must be </w:t>
      </w:r>
      <w:r w:rsidR="0037269A">
        <w:rPr>
          <w:lang w:val="en-US"/>
        </w:rPr>
        <w:t>evaluated together with other proposals in order to keep the scope of the WI manageable.</w:t>
      </w:r>
    </w:p>
    <w:p w14:paraId="2314A0FF" w14:textId="1E9BB453" w:rsidR="000E387C" w:rsidRPr="00FA78D2" w:rsidRDefault="000E387C" w:rsidP="000E387C">
      <w:pPr>
        <w:pStyle w:val="Heading2"/>
        <w:rPr>
          <w:lang w:val="en-US"/>
        </w:rPr>
      </w:pPr>
      <w:r>
        <w:rPr>
          <w:lang w:val="en-US"/>
        </w:rPr>
        <w:t>2.3</w:t>
      </w:r>
      <w:r>
        <w:rPr>
          <w:lang w:val="en-US"/>
        </w:rPr>
        <w:tab/>
      </w:r>
      <w:r w:rsidRPr="00FA78D2">
        <w:rPr>
          <w:lang w:val="en-US"/>
        </w:rPr>
        <w:t>Spectrum bands</w:t>
      </w:r>
    </w:p>
    <w:p w14:paraId="697115B9" w14:textId="50AC44AA" w:rsidR="000E387C" w:rsidRPr="00FA78D2" w:rsidRDefault="000E387C" w:rsidP="000E387C">
      <w:pPr>
        <w:pStyle w:val="Heading3"/>
        <w:rPr>
          <w:lang w:val="en-US"/>
        </w:rPr>
      </w:pPr>
      <w:bookmarkStart w:id="4" w:name="_Hlk73616789"/>
      <w:r>
        <w:rPr>
          <w:lang w:val="en-US"/>
        </w:rPr>
        <w:t>2.3.1</w:t>
      </w:r>
      <w:r>
        <w:rPr>
          <w:lang w:val="en-US"/>
        </w:rPr>
        <w:tab/>
      </w:r>
      <w:r w:rsidR="00835835">
        <w:rPr>
          <w:lang w:val="en-US"/>
        </w:rPr>
        <w:t>470-</w:t>
      </w:r>
      <w:r w:rsidR="00EF7420">
        <w:rPr>
          <w:lang w:val="en-US"/>
        </w:rPr>
        <w:t>694/698</w:t>
      </w:r>
      <w:r w:rsidRPr="00FA78D2">
        <w:rPr>
          <w:lang w:val="en-US"/>
        </w:rPr>
        <w:t xml:space="preserve"> MHz</w:t>
      </w:r>
    </w:p>
    <w:p w14:paraId="325B582A" w14:textId="520B6121" w:rsidR="000E387C" w:rsidRDefault="000E387C" w:rsidP="000E387C">
      <w:pPr>
        <w:pStyle w:val="BodyText"/>
        <w:rPr>
          <w:lang w:val="en-US"/>
        </w:rPr>
      </w:pPr>
      <w:r w:rsidRPr="00ED2ED7">
        <w:rPr>
          <w:lang w:val="en-US"/>
        </w:rPr>
        <w:t xml:space="preserve">With the new </w:t>
      </w:r>
      <w:r w:rsidR="009C2A4F" w:rsidRPr="00ED2ED7">
        <w:rPr>
          <w:lang w:val="en-US"/>
        </w:rPr>
        <w:t>Rel.17</w:t>
      </w:r>
      <w:r w:rsidRPr="00ED2ED7">
        <w:rPr>
          <w:lang w:val="en-US"/>
        </w:rPr>
        <w:t xml:space="preserve"> WI (</w:t>
      </w:r>
      <w:hyperlink r:id="rId14" w:history="1">
        <w:r w:rsidRPr="00ED2ED7">
          <w:rPr>
            <w:rStyle w:val="Hyperlink"/>
            <w:lang w:val="en-US"/>
          </w:rPr>
          <w:t>RP-210907</w:t>
        </w:r>
      </w:hyperlink>
      <w:r>
        <w:rPr>
          <w:lang w:val="en-US"/>
        </w:rPr>
        <w:t>) for “N</w:t>
      </w:r>
      <w:r w:rsidRPr="00E22B27">
        <w:rPr>
          <w:lang w:val="en-US"/>
        </w:rPr>
        <w:t>ew bands and bandwidth allocation for LTE based 5G terrestrial broadcast</w:t>
      </w:r>
      <w:r>
        <w:rPr>
          <w:lang w:val="en-US"/>
        </w:rPr>
        <w:t>”, 3GPP will for the first time specify a band in the range 470-694/698 MHz, which is currently used for traditional High Power High Tower (HPHT) terrestrial broadcast TV. The band definition is, according to the WID, limited to LTE broadcast.</w:t>
      </w:r>
    </w:p>
    <w:p w14:paraId="755203B1" w14:textId="77777777" w:rsidR="00C222E5" w:rsidRPr="00C222E5" w:rsidRDefault="000E387C" w:rsidP="00C222E5">
      <w:pPr>
        <w:pStyle w:val="BodyText"/>
        <w:rPr>
          <w:lang w:val="en-US"/>
        </w:rPr>
      </w:pPr>
      <w:r>
        <w:rPr>
          <w:lang w:val="en-US"/>
        </w:rPr>
        <w:t>We note however, that for UEs that anyway support this band (for LTE broadcast) and anyway support – in addition to LTE broadcast – also LTE unicast and NR unicast/multicast/broadcast, it would be a small additional complexity to also support these additional modes in the new band, since all functionality is already in place.</w:t>
      </w:r>
    </w:p>
    <w:p w14:paraId="7D77DFD8" w14:textId="60F7989B" w:rsidR="009C2A4F" w:rsidRPr="000A4482" w:rsidRDefault="009C2A4F" w:rsidP="000E387C">
      <w:pPr>
        <w:pStyle w:val="BodyText"/>
        <w:rPr>
          <w:lang w:val="en-US"/>
        </w:rPr>
      </w:pPr>
      <w:r>
        <w:rPr>
          <w:lang w:val="en-US"/>
        </w:rPr>
        <w:t>We therefore think</w:t>
      </w:r>
      <w:r w:rsidR="007F2943">
        <w:rPr>
          <w:lang w:val="en-US"/>
        </w:rPr>
        <w:t xml:space="preserve"> 3GPP, in Rel.18, should specify support </w:t>
      </w:r>
      <w:r w:rsidR="003640AA">
        <w:rPr>
          <w:lang w:val="en-US"/>
        </w:rPr>
        <w:t xml:space="preserve">also </w:t>
      </w:r>
      <w:r w:rsidR="007F2943">
        <w:rPr>
          <w:lang w:val="en-US"/>
        </w:rPr>
        <w:t xml:space="preserve">for </w:t>
      </w:r>
      <w:r w:rsidR="00DE6FAC">
        <w:rPr>
          <w:lang w:val="en-US"/>
        </w:rPr>
        <w:t>LTE unicast and NR</w:t>
      </w:r>
      <w:r w:rsidR="008719F5">
        <w:rPr>
          <w:lang w:val="en-US"/>
        </w:rPr>
        <w:t xml:space="preserve"> unicast/multicast/</w:t>
      </w:r>
      <w:r w:rsidR="008719F5" w:rsidRPr="000A4482">
        <w:rPr>
          <w:lang w:val="en-US"/>
        </w:rPr>
        <w:t>broadcast</w:t>
      </w:r>
      <w:r w:rsidR="003640AA" w:rsidRPr="000A4482">
        <w:rPr>
          <w:lang w:val="en-US"/>
        </w:rPr>
        <w:t xml:space="preserve"> in this band.</w:t>
      </w:r>
    </w:p>
    <w:p w14:paraId="0070F60D" w14:textId="0165657F" w:rsidR="00CF0005" w:rsidRPr="000A4482" w:rsidRDefault="00D5660F" w:rsidP="00872D01">
      <w:pPr>
        <w:pStyle w:val="Proposal"/>
        <w:rPr>
          <w:lang w:val="en-US"/>
        </w:rPr>
      </w:pPr>
      <w:bookmarkStart w:id="5" w:name="_Toc73993815"/>
      <w:r w:rsidRPr="000A4482">
        <w:rPr>
          <w:lang w:val="en-US"/>
        </w:rPr>
        <w:t xml:space="preserve">In Rel.18, </w:t>
      </w:r>
      <w:r w:rsidR="000331B0" w:rsidRPr="000A4482">
        <w:rPr>
          <w:lang w:val="en-US"/>
        </w:rPr>
        <w:t xml:space="preserve">specify </w:t>
      </w:r>
      <w:r w:rsidR="006E6F72" w:rsidRPr="000A4482">
        <w:rPr>
          <w:lang w:val="en-US"/>
        </w:rPr>
        <w:t xml:space="preserve">support </w:t>
      </w:r>
      <w:r w:rsidRPr="000A4482">
        <w:rPr>
          <w:lang w:val="en-US"/>
        </w:rPr>
        <w:t xml:space="preserve">for </w:t>
      </w:r>
      <w:r w:rsidR="007C16EA" w:rsidRPr="000A4482">
        <w:rPr>
          <w:lang w:val="en-US"/>
        </w:rPr>
        <w:t xml:space="preserve">LTE unicast and NR unicast/multicast/broadcast in </w:t>
      </w:r>
      <w:r w:rsidR="00785B97" w:rsidRPr="000A4482">
        <w:rPr>
          <w:lang w:val="en-US"/>
        </w:rPr>
        <w:t xml:space="preserve">the </w:t>
      </w:r>
      <w:r w:rsidRPr="000A4482">
        <w:rPr>
          <w:lang w:val="en-US"/>
        </w:rPr>
        <w:t>470-</w:t>
      </w:r>
      <w:r w:rsidR="00872D01" w:rsidRPr="000A4482">
        <w:rPr>
          <w:lang w:val="en-US"/>
        </w:rPr>
        <w:t>6</w:t>
      </w:r>
      <w:r w:rsidRPr="000A4482">
        <w:rPr>
          <w:lang w:val="en-US"/>
        </w:rPr>
        <w:t>9</w:t>
      </w:r>
      <w:r w:rsidR="00872D01" w:rsidRPr="000A4482">
        <w:rPr>
          <w:lang w:val="en-US"/>
        </w:rPr>
        <w:t>4/698 MHz band.</w:t>
      </w:r>
      <w:bookmarkEnd w:id="5"/>
    </w:p>
    <w:bookmarkEnd w:id="4"/>
    <w:p w14:paraId="20FC56E9" w14:textId="626CCB46" w:rsidR="000E387C" w:rsidRPr="00FA78D2" w:rsidRDefault="000E387C" w:rsidP="000E387C">
      <w:pPr>
        <w:pStyle w:val="Heading3"/>
        <w:rPr>
          <w:lang w:val="en-US"/>
        </w:rPr>
      </w:pPr>
      <w:r>
        <w:rPr>
          <w:lang w:val="en-US"/>
        </w:rPr>
        <w:t>2.3.2</w:t>
      </w:r>
      <w:r>
        <w:rPr>
          <w:lang w:val="en-US"/>
        </w:rPr>
        <w:tab/>
      </w:r>
      <w:r w:rsidR="0094631E">
        <w:rPr>
          <w:lang w:val="en-US"/>
        </w:rPr>
        <w:t>B</w:t>
      </w:r>
      <w:r w:rsidRPr="00FA78D2">
        <w:rPr>
          <w:lang w:val="en-US"/>
        </w:rPr>
        <w:t xml:space="preserve">and </w:t>
      </w:r>
      <w:r w:rsidR="0094631E">
        <w:rPr>
          <w:lang w:val="en-US"/>
        </w:rPr>
        <w:t xml:space="preserve">31, </w:t>
      </w:r>
      <w:r w:rsidRPr="00FA78D2">
        <w:rPr>
          <w:lang w:val="en-US"/>
        </w:rPr>
        <w:t>450-470 MHz</w:t>
      </w:r>
    </w:p>
    <w:p w14:paraId="0B9EF812" w14:textId="6417939E" w:rsidR="000E387C" w:rsidRDefault="000E387C" w:rsidP="000E387C">
      <w:pPr>
        <w:pStyle w:val="BodyText"/>
        <w:rPr>
          <w:lang w:val="en-US"/>
        </w:rPr>
      </w:pPr>
      <w:r>
        <w:rPr>
          <w:lang w:val="en-US"/>
        </w:rPr>
        <w:t xml:space="preserve">This band is currently specified for LTE, for Public Safety purposes. We think the current band definition should be extended to </w:t>
      </w:r>
      <w:r w:rsidR="003F76F4">
        <w:rPr>
          <w:lang w:val="en-US"/>
        </w:rPr>
        <w:t>also include</w:t>
      </w:r>
      <w:r>
        <w:rPr>
          <w:lang w:val="en-US"/>
        </w:rPr>
        <w:t xml:space="preserve"> NR. All variants of NR should be supported in the band, i.e.</w:t>
      </w:r>
      <w:r w:rsidR="00267D58">
        <w:rPr>
          <w:lang w:val="en-US"/>
        </w:rPr>
        <w:t xml:space="preserve"> </w:t>
      </w:r>
      <w:r>
        <w:rPr>
          <w:lang w:val="en-US"/>
        </w:rPr>
        <w:t>NR unicast/multicast/broadcast.</w:t>
      </w:r>
    </w:p>
    <w:p w14:paraId="12E31C57" w14:textId="32D36D06" w:rsidR="009D4C48" w:rsidRDefault="009D4C48" w:rsidP="00C15741">
      <w:pPr>
        <w:pStyle w:val="Proposal"/>
        <w:rPr>
          <w:lang w:val="en-US"/>
        </w:rPr>
      </w:pPr>
      <w:bookmarkStart w:id="6" w:name="_Toc73993816"/>
      <w:r>
        <w:rPr>
          <w:lang w:val="en-US"/>
        </w:rPr>
        <w:t xml:space="preserve">In Rel.18, </w:t>
      </w:r>
      <w:r w:rsidR="00ED2B7B">
        <w:rPr>
          <w:lang w:val="en-US"/>
        </w:rPr>
        <w:t xml:space="preserve">specify NR support </w:t>
      </w:r>
      <w:r w:rsidR="00785B97">
        <w:rPr>
          <w:lang w:val="en-US"/>
        </w:rPr>
        <w:t>for</w:t>
      </w:r>
      <w:r w:rsidR="00ED2B7B">
        <w:rPr>
          <w:lang w:val="en-US"/>
        </w:rPr>
        <w:t xml:space="preserve"> </w:t>
      </w:r>
      <w:r w:rsidR="005758C1">
        <w:rPr>
          <w:lang w:val="en-US"/>
        </w:rPr>
        <w:t xml:space="preserve">the </w:t>
      </w:r>
      <w:r w:rsidR="00ED2B7B">
        <w:rPr>
          <w:lang w:val="en-US"/>
        </w:rPr>
        <w:t>450-470 MHz band.</w:t>
      </w:r>
      <w:bookmarkEnd w:id="6"/>
    </w:p>
    <w:p w14:paraId="3CFA483D" w14:textId="77777777" w:rsidR="000E387C" w:rsidRPr="000E387C" w:rsidRDefault="000E387C" w:rsidP="000E387C"/>
    <w:p w14:paraId="1CC64EFD" w14:textId="5D87004F" w:rsidR="00C01F33" w:rsidRPr="00CE0424" w:rsidRDefault="00BD17CC" w:rsidP="00CE0424">
      <w:pPr>
        <w:pStyle w:val="Heading1"/>
      </w:pPr>
      <w:r>
        <w:t>3</w:t>
      </w:r>
      <w:r>
        <w:tab/>
      </w:r>
      <w:r w:rsidR="00C01F33" w:rsidRPr="00CE0424">
        <w:t>Conclusion</w:t>
      </w:r>
    </w:p>
    <w:p w14:paraId="4ED0E4B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F81EEC4" w14:textId="77777777" w:rsidR="005847C6"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3993812" w:history="1">
        <w:r w:rsidR="005847C6" w:rsidRPr="003C01FB">
          <w:rPr>
            <w:rStyle w:val="Hyperlink"/>
            <w:noProof/>
            <w:lang w:val="en-US"/>
          </w:rPr>
          <w:t>Proposal 1</w:t>
        </w:r>
        <w:r w:rsidR="005847C6">
          <w:rPr>
            <w:rFonts w:asciiTheme="minorHAnsi" w:eastAsiaTheme="minorEastAsia" w:hAnsiTheme="minorHAnsi" w:cstheme="minorBidi"/>
            <w:b w:val="0"/>
            <w:noProof/>
            <w:sz w:val="22"/>
            <w:szCs w:val="22"/>
            <w:lang w:val="en-US" w:eastAsia="en-US"/>
          </w:rPr>
          <w:tab/>
        </w:r>
        <w:r w:rsidR="005847C6" w:rsidRPr="003C01FB">
          <w:rPr>
            <w:rStyle w:val="Hyperlink"/>
            <w:noProof/>
            <w:lang w:val="en-US"/>
          </w:rPr>
          <w:t>A Rel.18 work item on MBS should specify an extended cyclic prefix to improve performance in small SFNs.</w:t>
        </w:r>
      </w:hyperlink>
    </w:p>
    <w:p w14:paraId="36B1C659" w14:textId="77777777" w:rsidR="005847C6" w:rsidRDefault="005847C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3993813" w:history="1">
        <w:r w:rsidRPr="003C01FB">
          <w:rPr>
            <w:rStyle w:val="Hyperlink"/>
            <w:noProof/>
            <w:lang w:val="en-US"/>
          </w:rPr>
          <w:t>Proposal 2</w:t>
        </w:r>
        <w:r>
          <w:rPr>
            <w:rFonts w:asciiTheme="minorHAnsi" w:eastAsiaTheme="minorEastAsia" w:hAnsiTheme="minorHAnsi" w:cstheme="minorBidi"/>
            <w:b w:val="0"/>
            <w:noProof/>
            <w:sz w:val="22"/>
            <w:szCs w:val="22"/>
            <w:lang w:val="en-US" w:eastAsia="en-US"/>
          </w:rPr>
          <w:tab/>
        </w:r>
        <w:r w:rsidRPr="003C01FB">
          <w:rPr>
            <w:rStyle w:val="Hyperlink"/>
            <w:noProof/>
            <w:lang w:val="en-US"/>
          </w:rPr>
          <w:t>A Rel.18 work item on MBS should not specify new sub-carrier spacings.</w:t>
        </w:r>
      </w:hyperlink>
    </w:p>
    <w:p w14:paraId="5D130299" w14:textId="77777777" w:rsidR="005847C6" w:rsidRDefault="005847C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3993814" w:history="1">
        <w:r w:rsidRPr="003C01FB">
          <w:rPr>
            <w:rStyle w:val="Hyperlink"/>
            <w:noProof/>
            <w:lang w:val="en-US"/>
          </w:rPr>
          <w:t>Proposal 3</w:t>
        </w:r>
        <w:r>
          <w:rPr>
            <w:rFonts w:asciiTheme="minorHAnsi" w:eastAsiaTheme="minorEastAsia" w:hAnsiTheme="minorHAnsi" w:cstheme="minorBidi"/>
            <w:b w:val="0"/>
            <w:noProof/>
            <w:sz w:val="22"/>
            <w:szCs w:val="22"/>
            <w:lang w:val="en-US" w:eastAsia="en-US"/>
          </w:rPr>
          <w:tab/>
        </w:r>
        <w:r w:rsidRPr="003C01FB">
          <w:rPr>
            <w:rStyle w:val="Hyperlink"/>
            <w:noProof/>
            <w:lang w:val="en-US"/>
          </w:rPr>
          <w:t>A Rel.18 work item on MBS should not specify additional architecture aspects nor additional network signaling (e.g. synchronization).</w:t>
        </w:r>
      </w:hyperlink>
    </w:p>
    <w:p w14:paraId="3D577F40" w14:textId="77777777" w:rsidR="005847C6" w:rsidRDefault="005847C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3993815" w:history="1">
        <w:r w:rsidRPr="003C01FB">
          <w:rPr>
            <w:rStyle w:val="Hyperlink"/>
            <w:noProof/>
            <w:lang w:val="en-US"/>
          </w:rPr>
          <w:t>Proposal 4</w:t>
        </w:r>
        <w:r>
          <w:rPr>
            <w:rFonts w:asciiTheme="minorHAnsi" w:eastAsiaTheme="minorEastAsia" w:hAnsiTheme="minorHAnsi" w:cstheme="minorBidi"/>
            <w:b w:val="0"/>
            <w:noProof/>
            <w:sz w:val="22"/>
            <w:szCs w:val="22"/>
            <w:lang w:val="en-US" w:eastAsia="en-US"/>
          </w:rPr>
          <w:tab/>
        </w:r>
        <w:r w:rsidRPr="003C01FB">
          <w:rPr>
            <w:rStyle w:val="Hyperlink"/>
            <w:noProof/>
            <w:lang w:val="en-US"/>
          </w:rPr>
          <w:t>In Rel.18, specify support for LTE unicast and NR unicast/multicast/broadcast in the 470-694/698 MHz band.</w:t>
        </w:r>
      </w:hyperlink>
    </w:p>
    <w:p w14:paraId="60B981A8" w14:textId="77777777" w:rsidR="005847C6" w:rsidRDefault="005847C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3993816" w:history="1">
        <w:r w:rsidRPr="003C01FB">
          <w:rPr>
            <w:rStyle w:val="Hyperlink"/>
            <w:noProof/>
            <w:lang w:val="en-US"/>
          </w:rPr>
          <w:t>Proposal 5</w:t>
        </w:r>
        <w:r>
          <w:rPr>
            <w:rFonts w:asciiTheme="minorHAnsi" w:eastAsiaTheme="minorEastAsia" w:hAnsiTheme="minorHAnsi" w:cstheme="minorBidi"/>
            <w:b w:val="0"/>
            <w:noProof/>
            <w:sz w:val="22"/>
            <w:szCs w:val="22"/>
            <w:lang w:val="en-US" w:eastAsia="en-US"/>
          </w:rPr>
          <w:tab/>
        </w:r>
        <w:r w:rsidRPr="003C01FB">
          <w:rPr>
            <w:rStyle w:val="Hyperlink"/>
            <w:noProof/>
            <w:lang w:val="en-US"/>
          </w:rPr>
          <w:t>In Rel.18, specify NR support for the 450-470 MHz band.</w:t>
        </w:r>
      </w:hyperlink>
    </w:p>
    <w:p w14:paraId="3553E4C4" w14:textId="47AFE7D7" w:rsidR="006E1C82" w:rsidRPr="00CE0424" w:rsidRDefault="006E1C82" w:rsidP="006E1C82">
      <w:pPr>
        <w:pStyle w:val="BodyText"/>
        <w:rPr>
          <w:b/>
          <w:bCs/>
        </w:rPr>
      </w:pPr>
      <w:r>
        <w:rPr>
          <w:b/>
          <w:bCs/>
          <w:lang w:val="en-US"/>
        </w:rPr>
        <w:fldChar w:fldCharType="end"/>
      </w:r>
      <w:r w:rsidRPr="00CE0424">
        <w:rPr>
          <w:b/>
          <w:bCs/>
        </w:rPr>
        <w:t xml:space="preserve"> </w:t>
      </w:r>
    </w:p>
    <w:sectPr w:rsidR="006E1C82"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B6938" w14:textId="77777777" w:rsidR="00461949" w:rsidRDefault="00461949">
      <w:r>
        <w:separator/>
      </w:r>
    </w:p>
  </w:endnote>
  <w:endnote w:type="continuationSeparator" w:id="0">
    <w:p w14:paraId="24EFE01B" w14:textId="77777777" w:rsidR="00461949" w:rsidRDefault="00461949">
      <w:r>
        <w:continuationSeparator/>
      </w:r>
    </w:p>
  </w:endnote>
  <w:endnote w:type="continuationNotice" w:id="1">
    <w:p w14:paraId="2A096DF9" w14:textId="77777777" w:rsidR="00461949" w:rsidRDefault="004619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6090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89174" w14:textId="77777777" w:rsidR="00461949" w:rsidRDefault="00461949">
      <w:r>
        <w:separator/>
      </w:r>
    </w:p>
  </w:footnote>
  <w:footnote w:type="continuationSeparator" w:id="0">
    <w:p w14:paraId="28910185" w14:textId="77777777" w:rsidR="00461949" w:rsidRDefault="00461949">
      <w:r>
        <w:continuationSeparator/>
      </w:r>
    </w:p>
  </w:footnote>
  <w:footnote w:type="continuationNotice" w:id="1">
    <w:p w14:paraId="760971D4" w14:textId="77777777" w:rsidR="00461949" w:rsidRDefault="004619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985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A9E3B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C97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5403EE"/>
    <w:multiLevelType w:val="hybridMultilevel"/>
    <w:tmpl w:val="DD86D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2"/>
  </w:num>
  <w:num w:numId="21">
    <w:abstractNumId w:val="11"/>
  </w:num>
  <w:num w:numId="22">
    <w:abstractNumId w:val="21"/>
  </w:num>
  <w:num w:numId="23">
    <w:abstractNumId w:val="23"/>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87C"/>
    <w:rsid w:val="000006E1"/>
    <w:rsid w:val="00002A37"/>
    <w:rsid w:val="0000564C"/>
    <w:rsid w:val="00006446"/>
    <w:rsid w:val="00006896"/>
    <w:rsid w:val="00007C55"/>
    <w:rsid w:val="00007CDC"/>
    <w:rsid w:val="00011B28"/>
    <w:rsid w:val="00015D15"/>
    <w:rsid w:val="0001664E"/>
    <w:rsid w:val="0002564D"/>
    <w:rsid w:val="00025ECA"/>
    <w:rsid w:val="00026419"/>
    <w:rsid w:val="000325B8"/>
    <w:rsid w:val="000331B0"/>
    <w:rsid w:val="00034C15"/>
    <w:rsid w:val="00036BA1"/>
    <w:rsid w:val="000422E2"/>
    <w:rsid w:val="00042F22"/>
    <w:rsid w:val="000444EF"/>
    <w:rsid w:val="00052A07"/>
    <w:rsid w:val="000534E3"/>
    <w:rsid w:val="00055B68"/>
    <w:rsid w:val="0005606A"/>
    <w:rsid w:val="00057117"/>
    <w:rsid w:val="000616E7"/>
    <w:rsid w:val="0006487E"/>
    <w:rsid w:val="00065E1A"/>
    <w:rsid w:val="00070AAE"/>
    <w:rsid w:val="0007786B"/>
    <w:rsid w:val="00077E5F"/>
    <w:rsid w:val="0008036A"/>
    <w:rsid w:val="00081AE6"/>
    <w:rsid w:val="00085570"/>
    <w:rsid w:val="000855EB"/>
    <w:rsid w:val="00085B52"/>
    <w:rsid w:val="000866F2"/>
    <w:rsid w:val="0009009F"/>
    <w:rsid w:val="00090C79"/>
    <w:rsid w:val="00091557"/>
    <w:rsid w:val="000924C1"/>
    <w:rsid w:val="000924F0"/>
    <w:rsid w:val="00093474"/>
    <w:rsid w:val="000938A7"/>
    <w:rsid w:val="0009510F"/>
    <w:rsid w:val="000A05ED"/>
    <w:rsid w:val="000A1B7B"/>
    <w:rsid w:val="000A4482"/>
    <w:rsid w:val="000A56F2"/>
    <w:rsid w:val="000B2719"/>
    <w:rsid w:val="000B3A8F"/>
    <w:rsid w:val="000B4AB9"/>
    <w:rsid w:val="000B58C3"/>
    <w:rsid w:val="000B61E9"/>
    <w:rsid w:val="000C165A"/>
    <w:rsid w:val="000C2E19"/>
    <w:rsid w:val="000D0D07"/>
    <w:rsid w:val="000D4797"/>
    <w:rsid w:val="000E0527"/>
    <w:rsid w:val="000E195C"/>
    <w:rsid w:val="000E1E92"/>
    <w:rsid w:val="000E387C"/>
    <w:rsid w:val="000F06D6"/>
    <w:rsid w:val="000F0EB1"/>
    <w:rsid w:val="000F1106"/>
    <w:rsid w:val="000F3BE9"/>
    <w:rsid w:val="000F3F6C"/>
    <w:rsid w:val="000F6DF3"/>
    <w:rsid w:val="001005FF"/>
    <w:rsid w:val="001062FB"/>
    <w:rsid w:val="001063E6"/>
    <w:rsid w:val="001075A8"/>
    <w:rsid w:val="00113CF4"/>
    <w:rsid w:val="001153EA"/>
    <w:rsid w:val="00115643"/>
    <w:rsid w:val="00116765"/>
    <w:rsid w:val="0011691A"/>
    <w:rsid w:val="001219F5"/>
    <w:rsid w:val="00121A20"/>
    <w:rsid w:val="0012377F"/>
    <w:rsid w:val="00124314"/>
    <w:rsid w:val="0012669C"/>
    <w:rsid w:val="00126B4A"/>
    <w:rsid w:val="00132FD0"/>
    <w:rsid w:val="00133D12"/>
    <w:rsid w:val="001344C0"/>
    <w:rsid w:val="001346FA"/>
    <w:rsid w:val="00135252"/>
    <w:rsid w:val="00137AB5"/>
    <w:rsid w:val="00137F0B"/>
    <w:rsid w:val="00147073"/>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24FA"/>
    <w:rsid w:val="001E58E2"/>
    <w:rsid w:val="001E7AED"/>
    <w:rsid w:val="001F3916"/>
    <w:rsid w:val="001F54C5"/>
    <w:rsid w:val="001F5CF4"/>
    <w:rsid w:val="001F662C"/>
    <w:rsid w:val="001F7074"/>
    <w:rsid w:val="00200490"/>
    <w:rsid w:val="00201F3A"/>
    <w:rsid w:val="00203F96"/>
    <w:rsid w:val="00205730"/>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364D2"/>
    <w:rsid w:val="00241559"/>
    <w:rsid w:val="002435B3"/>
    <w:rsid w:val="002458EB"/>
    <w:rsid w:val="00245B52"/>
    <w:rsid w:val="002500C8"/>
    <w:rsid w:val="00257543"/>
    <w:rsid w:val="002617E7"/>
    <w:rsid w:val="00261D9D"/>
    <w:rsid w:val="00264228"/>
    <w:rsid w:val="00264334"/>
    <w:rsid w:val="0026473E"/>
    <w:rsid w:val="00266214"/>
    <w:rsid w:val="00267C83"/>
    <w:rsid w:val="00267D58"/>
    <w:rsid w:val="0027144F"/>
    <w:rsid w:val="00271813"/>
    <w:rsid w:val="00271F3A"/>
    <w:rsid w:val="00273278"/>
    <w:rsid w:val="002737F4"/>
    <w:rsid w:val="002805F5"/>
    <w:rsid w:val="00280751"/>
    <w:rsid w:val="002817B1"/>
    <w:rsid w:val="0028280A"/>
    <w:rsid w:val="00286ACD"/>
    <w:rsid w:val="00287838"/>
    <w:rsid w:val="002907B5"/>
    <w:rsid w:val="00292EB7"/>
    <w:rsid w:val="002957C5"/>
    <w:rsid w:val="00296227"/>
    <w:rsid w:val="00296F44"/>
    <w:rsid w:val="0029777D"/>
    <w:rsid w:val="002A055E"/>
    <w:rsid w:val="002A1D4E"/>
    <w:rsid w:val="002A2869"/>
    <w:rsid w:val="002B24D6"/>
    <w:rsid w:val="002B2CD2"/>
    <w:rsid w:val="002B614B"/>
    <w:rsid w:val="002C41E6"/>
    <w:rsid w:val="002D071A"/>
    <w:rsid w:val="002D34B2"/>
    <w:rsid w:val="002D48B0"/>
    <w:rsid w:val="002D5B37"/>
    <w:rsid w:val="002D7637"/>
    <w:rsid w:val="002E17F2"/>
    <w:rsid w:val="002E5415"/>
    <w:rsid w:val="002E7CAE"/>
    <w:rsid w:val="002F2771"/>
    <w:rsid w:val="002F3273"/>
    <w:rsid w:val="002F37A9"/>
    <w:rsid w:val="003010D8"/>
    <w:rsid w:val="00301CE6"/>
    <w:rsid w:val="0030256B"/>
    <w:rsid w:val="0030501F"/>
    <w:rsid w:val="00305F5D"/>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40AA"/>
    <w:rsid w:val="00370E47"/>
    <w:rsid w:val="0037269A"/>
    <w:rsid w:val="003742AC"/>
    <w:rsid w:val="00377CE1"/>
    <w:rsid w:val="00385BF0"/>
    <w:rsid w:val="003939FF"/>
    <w:rsid w:val="003A2223"/>
    <w:rsid w:val="003A2A0F"/>
    <w:rsid w:val="003A45A1"/>
    <w:rsid w:val="003A5B0A"/>
    <w:rsid w:val="003A6BAC"/>
    <w:rsid w:val="003A70A4"/>
    <w:rsid w:val="003A7EF3"/>
    <w:rsid w:val="003B159C"/>
    <w:rsid w:val="003B1B5E"/>
    <w:rsid w:val="003B369F"/>
    <w:rsid w:val="003B36A3"/>
    <w:rsid w:val="003B64BB"/>
    <w:rsid w:val="003B7FE5"/>
    <w:rsid w:val="003C11C8"/>
    <w:rsid w:val="003C2702"/>
    <w:rsid w:val="003C7806"/>
    <w:rsid w:val="003D109F"/>
    <w:rsid w:val="003D2478"/>
    <w:rsid w:val="003D3C45"/>
    <w:rsid w:val="003D5B1F"/>
    <w:rsid w:val="003D5DAD"/>
    <w:rsid w:val="003D6C81"/>
    <w:rsid w:val="003D6D17"/>
    <w:rsid w:val="003E15FA"/>
    <w:rsid w:val="003E55E4"/>
    <w:rsid w:val="003E74E3"/>
    <w:rsid w:val="003F05C7"/>
    <w:rsid w:val="003F1A81"/>
    <w:rsid w:val="003F2CD4"/>
    <w:rsid w:val="003F6BBE"/>
    <w:rsid w:val="003F76F4"/>
    <w:rsid w:val="004000E8"/>
    <w:rsid w:val="00402E2B"/>
    <w:rsid w:val="0040512B"/>
    <w:rsid w:val="00405CA5"/>
    <w:rsid w:val="00407CD3"/>
    <w:rsid w:val="00407F4B"/>
    <w:rsid w:val="00410134"/>
    <w:rsid w:val="00410B72"/>
    <w:rsid w:val="00410F18"/>
    <w:rsid w:val="0041263E"/>
    <w:rsid w:val="00413AAC"/>
    <w:rsid w:val="00413DEB"/>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1949"/>
    <w:rsid w:val="004669E2"/>
    <w:rsid w:val="00470C31"/>
    <w:rsid w:val="00471DE0"/>
    <w:rsid w:val="004734D0"/>
    <w:rsid w:val="0047556B"/>
    <w:rsid w:val="00477768"/>
    <w:rsid w:val="00484F67"/>
    <w:rsid w:val="00487AE3"/>
    <w:rsid w:val="00492BC5"/>
    <w:rsid w:val="004964F1"/>
    <w:rsid w:val="004A16BC"/>
    <w:rsid w:val="004A2B94"/>
    <w:rsid w:val="004A7AA3"/>
    <w:rsid w:val="004B6F6A"/>
    <w:rsid w:val="004B7C0C"/>
    <w:rsid w:val="004C3898"/>
    <w:rsid w:val="004D36B1"/>
    <w:rsid w:val="004D7EBD"/>
    <w:rsid w:val="004E2680"/>
    <w:rsid w:val="004E28F9"/>
    <w:rsid w:val="004E462E"/>
    <w:rsid w:val="004E56DC"/>
    <w:rsid w:val="004E76F4"/>
    <w:rsid w:val="004F0B4E"/>
    <w:rsid w:val="004F0B6C"/>
    <w:rsid w:val="004F2078"/>
    <w:rsid w:val="004F4761"/>
    <w:rsid w:val="004F4DA3"/>
    <w:rsid w:val="00501820"/>
    <w:rsid w:val="00506557"/>
    <w:rsid w:val="0050677A"/>
    <w:rsid w:val="005108D8"/>
    <w:rsid w:val="005116F9"/>
    <w:rsid w:val="00512741"/>
    <w:rsid w:val="005153A7"/>
    <w:rsid w:val="005219CF"/>
    <w:rsid w:val="00534B59"/>
    <w:rsid w:val="00536759"/>
    <w:rsid w:val="00537C62"/>
    <w:rsid w:val="00542950"/>
    <w:rsid w:val="00546970"/>
    <w:rsid w:val="00554E19"/>
    <w:rsid w:val="0056121F"/>
    <w:rsid w:val="00572505"/>
    <w:rsid w:val="00574DCA"/>
    <w:rsid w:val="005758C1"/>
    <w:rsid w:val="00582809"/>
    <w:rsid w:val="005847C6"/>
    <w:rsid w:val="0058798C"/>
    <w:rsid w:val="005900FA"/>
    <w:rsid w:val="005935A4"/>
    <w:rsid w:val="005948C2"/>
    <w:rsid w:val="00595DCA"/>
    <w:rsid w:val="0059779B"/>
    <w:rsid w:val="005A209A"/>
    <w:rsid w:val="005A294E"/>
    <w:rsid w:val="005A662D"/>
    <w:rsid w:val="005B1409"/>
    <w:rsid w:val="005B35D7"/>
    <w:rsid w:val="005B392A"/>
    <w:rsid w:val="005B3AA3"/>
    <w:rsid w:val="005B6F83"/>
    <w:rsid w:val="005C74FB"/>
    <w:rsid w:val="005D1602"/>
    <w:rsid w:val="005E385F"/>
    <w:rsid w:val="005E448C"/>
    <w:rsid w:val="005E5B81"/>
    <w:rsid w:val="005E6D50"/>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5749"/>
    <w:rsid w:val="00636398"/>
    <w:rsid w:val="006368D3"/>
    <w:rsid w:val="006377EC"/>
    <w:rsid w:val="0064151F"/>
    <w:rsid w:val="00641533"/>
    <w:rsid w:val="0064208D"/>
    <w:rsid w:val="00643475"/>
    <w:rsid w:val="006436F7"/>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0BC"/>
    <w:rsid w:val="00696949"/>
    <w:rsid w:val="00697052"/>
    <w:rsid w:val="006A0C92"/>
    <w:rsid w:val="006A46FB"/>
    <w:rsid w:val="006A5E28"/>
    <w:rsid w:val="006A697B"/>
    <w:rsid w:val="006A7AFF"/>
    <w:rsid w:val="006B1816"/>
    <w:rsid w:val="006B2099"/>
    <w:rsid w:val="006B50CF"/>
    <w:rsid w:val="006B5443"/>
    <w:rsid w:val="006C03B8"/>
    <w:rsid w:val="006C5EC9"/>
    <w:rsid w:val="006C6059"/>
    <w:rsid w:val="006C7522"/>
    <w:rsid w:val="006D6F08"/>
    <w:rsid w:val="006E062C"/>
    <w:rsid w:val="006E1705"/>
    <w:rsid w:val="006E1C82"/>
    <w:rsid w:val="006E28B7"/>
    <w:rsid w:val="006E2A9B"/>
    <w:rsid w:val="006E3310"/>
    <w:rsid w:val="006E4E39"/>
    <w:rsid w:val="006E565E"/>
    <w:rsid w:val="006E673D"/>
    <w:rsid w:val="006E6F72"/>
    <w:rsid w:val="006E7D3B"/>
    <w:rsid w:val="006F1B70"/>
    <w:rsid w:val="006F341D"/>
    <w:rsid w:val="006F3CDE"/>
    <w:rsid w:val="006F5306"/>
    <w:rsid w:val="006F58D4"/>
    <w:rsid w:val="006F6582"/>
    <w:rsid w:val="007003FD"/>
    <w:rsid w:val="0070346E"/>
    <w:rsid w:val="00704EDB"/>
    <w:rsid w:val="00706101"/>
    <w:rsid w:val="00707072"/>
    <w:rsid w:val="00707D61"/>
    <w:rsid w:val="00712287"/>
    <w:rsid w:val="00712772"/>
    <w:rsid w:val="00713F58"/>
    <w:rsid w:val="007148D3"/>
    <w:rsid w:val="00715B9A"/>
    <w:rsid w:val="007257D0"/>
    <w:rsid w:val="00726EA6"/>
    <w:rsid w:val="00727208"/>
    <w:rsid w:val="00727680"/>
    <w:rsid w:val="007348B1"/>
    <w:rsid w:val="007354E1"/>
    <w:rsid w:val="007362A6"/>
    <w:rsid w:val="00736D7D"/>
    <w:rsid w:val="0074085E"/>
    <w:rsid w:val="00740E58"/>
    <w:rsid w:val="007445A0"/>
    <w:rsid w:val="0074524B"/>
    <w:rsid w:val="0074667D"/>
    <w:rsid w:val="00747D8B"/>
    <w:rsid w:val="00751228"/>
    <w:rsid w:val="007571E1"/>
    <w:rsid w:val="00757A16"/>
    <w:rsid w:val="007604B2"/>
    <w:rsid w:val="00765281"/>
    <w:rsid w:val="00766BAD"/>
    <w:rsid w:val="007729A2"/>
    <w:rsid w:val="007755F2"/>
    <w:rsid w:val="00775BD0"/>
    <w:rsid w:val="00776971"/>
    <w:rsid w:val="00780A80"/>
    <w:rsid w:val="0078177E"/>
    <w:rsid w:val="0078304C"/>
    <w:rsid w:val="00783673"/>
    <w:rsid w:val="00785490"/>
    <w:rsid w:val="00785B97"/>
    <w:rsid w:val="00791415"/>
    <w:rsid w:val="007925EA"/>
    <w:rsid w:val="00793CD8"/>
    <w:rsid w:val="00795C92"/>
    <w:rsid w:val="00796231"/>
    <w:rsid w:val="007A1CB3"/>
    <w:rsid w:val="007A306F"/>
    <w:rsid w:val="007A43A6"/>
    <w:rsid w:val="007A58A6"/>
    <w:rsid w:val="007B3D2D"/>
    <w:rsid w:val="007B50AE"/>
    <w:rsid w:val="007B51DF"/>
    <w:rsid w:val="007C0529"/>
    <w:rsid w:val="007C05DD"/>
    <w:rsid w:val="007C16EA"/>
    <w:rsid w:val="007C3D18"/>
    <w:rsid w:val="007C60BF"/>
    <w:rsid w:val="007C6A07"/>
    <w:rsid w:val="007C75A1"/>
    <w:rsid w:val="007C77A5"/>
    <w:rsid w:val="007D04E5"/>
    <w:rsid w:val="007D5901"/>
    <w:rsid w:val="007D7526"/>
    <w:rsid w:val="007E4610"/>
    <w:rsid w:val="007E4715"/>
    <w:rsid w:val="007E505B"/>
    <w:rsid w:val="007E7091"/>
    <w:rsid w:val="007E7816"/>
    <w:rsid w:val="007F2943"/>
    <w:rsid w:val="00803FAE"/>
    <w:rsid w:val="0080605F"/>
    <w:rsid w:val="00807786"/>
    <w:rsid w:val="00811FCB"/>
    <w:rsid w:val="008158D6"/>
    <w:rsid w:val="00817196"/>
    <w:rsid w:val="008235DB"/>
    <w:rsid w:val="00824AB4"/>
    <w:rsid w:val="00825C42"/>
    <w:rsid w:val="00825D25"/>
    <w:rsid w:val="00827D6F"/>
    <w:rsid w:val="00835835"/>
    <w:rsid w:val="008376AC"/>
    <w:rsid w:val="008444E8"/>
    <w:rsid w:val="00844E80"/>
    <w:rsid w:val="00846FE7"/>
    <w:rsid w:val="00856911"/>
    <w:rsid w:val="008677FD"/>
    <w:rsid w:val="00867EB7"/>
    <w:rsid w:val="008706D4"/>
    <w:rsid w:val="00870F8A"/>
    <w:rsid w:val="008719A4"/>
    <w:rsid w:val="008719F5"/>
    <w:rsid w:val="00871D23"/>
    <w:rsid w:val="00872D01"/>
    <w:rsid w:val="00874312"/>
    <w:rsid w:val="0087437C"/>
    <w:rsid w:val="00875CD7"/>
    <w:rsid w:val="00876B4D"/>
    <w:rsid w:val="00877F18"/>
    <w:rsid w:val="008941E3"/>
    <w:rsid w:val="00894A88"/>
    <w:rsid w:val="00895386"/>
    <w:rsid w:val="008A0EEF"/>
    <w:rsid w:val="008A0F9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6A8"/>
    <w:rsid w:val="008D34F1"/>
    <w:rsid w:val="008D39D8"/>
    <w:rsid w:val="008D6D1A"/>
    <w:rsid w:val="008E065E"/>
    <w:rsid w:val="008E0927"/>
    <w:rsid w:val="008E1909"/>
    <w:rsid w:val="008F1EAB"/>
    <w:rsid w:val="008F33DC"/>
    <w:rsid w:val="008F477F"/>
    <w:rsid w:val="00902350"/>
    <w:rsid w:val="0090336B"/>
    <w:rsid w:val="00903C9E"/>
    <w:rsid w:val="009053AA"/>
    <w:rsid w:val="00906939"/>
    <w:rsid w:val="00910B7D"/>
    <w:rsid w:val="00911DFB"/>
    <w:rsid w:val="009139D9"/>
    <w:rsid w:val="00914AD8"/>
    <w:rsid w:val="00916079"/>
    <w:rsid w:val="009172BB"/>
    <w:rsid w:val="00917CE9"/>
    <w:rsid w:val="009204F6"/>
    <w:rsid w:val="00920BF2"/>
    <w:rsid w:val="00922010"/>
    <w:rsid w:val="00931BD9"/>
    <w:rsid w:val="00934EBB"/>
    <w:rsid w:val="009368F3"/>
    <w:rsid w:val="00941636"/>
    <w:rsid w:val="00943742"/>
    <w:rsid w:val="00945C05"/>
    <w:rsid w:val="0094631E"/>
    <w:rsid w:val="00946945"/>
    <w:rsid w:val="00947713"/>
    <w:rsid w:val="00950DE7"/>
    <w:rsid w:val="00952BEE"/>
    <w:rsid w:val="00953920"/>
    <w:rsid w:val="00953D47"/>
    <w:rsid w:val="0095681E"/>
    <w:rsid w:val="009572D4"/>
    <w:rsid w:val="00960CDF"/>
    <w:rsid w:val="00961921"/>
    <w:rsid w:val="0096430A"/>
    <w:rsid w:val="0096554B"/>
    <w:rsid w:val="0096584A"/>
    <w:rsid w:val="00971F08"/>
    <w:rsid w:val="0097603D"/>
    <w:rsid w:val="00976949"/>
    <w:rsid w:val="00980477"/>
    <w:rsid w:val="00980C03"/>
    <w:rsid w:val="00985253"/>
    <w:rsid w:val="009853B3"/>
    <w:rsid w:val="00990630"/>
    <w:rsid w:val="00991761"/>
    <w:rsid w:val="00994DCA"/>
    <w:rsid w:val="009960EC"/>
    <w:rsid w:val="009970DD"/>
    <w:rsid w:val="009A0FBA"/>
    <w:rsid w:val="009A1601"/>
    <w:rsid w:val="009A3BB6"/>
    <w:rsid w:val="009A3E1F"/>
    <w:rsid w:val="009A462D"/>
    <w:rsid w:val="009A5CBA"/>
    <w:rsid w:val="009A7502"/>
    <w:rsid w:val="009A7F0C"/>
    <w:rsid w:val="009B166C"/>
    <w:rsid w:val="009B1F30"/>
    <w:rsid w:val="009B3AC2"/>
    <w:rsid w:val="009B4DF4"/>
    <w:rsid w:val="009B564E"/>
    <w:rsid w:val="009B66F8"/>
    <w:rsid w:val="009B713B"/>
    <w:rsid w:val="009B7E87"/>
    <w:rsid w:val="009C0169"/>
    <w:rsid w:val="009C0EBB"/>
    <w:rsid w:val="009C2A4F"/>
    <w:rsid w:val="009C403E"/>
    <w:rsid w:val="009D4C48"/>
    <w:rsid w:val="009D4FF0"/>
    <w:rsid w:val="009D703C"/>
    <w:rsid w:val="009D718F"/>
    <w:rsid w:val="009E068F"/>
    <w:rsid w:val="009E14E0"/>
    <w:rsid w:val="009E35DB"/>
    <w:rsid w:val="009E47A3"/>
    <w:rsid w:val="009F08F3"/>
    <w:rsid w:val="009F344F"/>
    <w:rsid w:val="009F726B"/>
    <w:rsid w:val="00A00329"/>
    <w:rsid w:val="00A00C65"/>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0AA0"/>
    <w:rsid w:val="00A52E1D"/>
    <w:rsid w:val="00A61499"/>
    <w:rsid w:val="00A62A77"/>
    <w:rsid w:val="00A63483"/>
    <w:rsid w:val="00A64390"/>
    <w:rsid w:val="00A657D7"/>
    <w:rsid w:val="00A660AC"/>
    <w:rsid w:val="00A67E6C"/>
    <w:rsid w:val="00A71B99"/>
    <w:rsid w:val="00A739D0"/>
    <w:rsid w:val="00A761D4"/>
    <w:rsid w:val="00A77EC4"/>
    <w:rsid w:val="00A9266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7F7A"/>
    <w:rsid w:val="00B20256"/>
    <w:rsid w:val="00B20D09"/>
    <w:rsid w:val="00B2763F"/>
    <w:rsid w:val="00B27AAC"/>
    <w:rsid w:val="00B30929"/>
    <w:rsid w:val="00B372AA"/>
    <w:rsid w:val="00B377F5"/>
    <w:rsid w:val="00B40445"/>
    <w:rsid w:val="00B409E0"/>
    <w:rsid w:val="00B41888"/>
    <w:rsid w:val="00B45959"/>
    <w:rsid w:val="00B45A34"/>
    <w:rsid w:val="00B45A52"/>
    <w:rsid w:val="00B46175"/>
    <w:rsid w:val="00B533FC"/>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E93"/>
    <w:rsid w:val="00BD17CC"/>
    <w:rsid w:val="00BD2C69"/>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741"/>
    <w:rsid w:val="00C222E5"/>
    <w:rsid w:val="00C268E6"/>
    <w:rsid w:val="00C279B5"/>
    <w:rsid w:val="00C27C45"/>
    <w:rsid w:val="00C3719D"/>
    <w:rsid w:val="00C37CB2"/>
    <w:rsid w:val="00C461D6"/>
    <w:rsid w:val="00C473A5"/>
    <w:rsid w:val="00C54995"/>
    <w:rsid w:val="00C54D41"/>
    <w:rsid w:val="00C60783"/>
    <w:rsid w:val="00C64672"/>
    <w:rsid w:val="00C64DD2"/>
    <w:rsid w:val="00C70697"/>
    <w:rsid w:val="00C72093"/>
    <w:rsid w:val="00C72EF4"/>
    <w:rsid w:val="00C744FE"/>
    <w:rsid w:val="00C757FF"/>
    <w:rsid w:val="00C75D2F"/>
    <w:rsid w:val="00C767BE"/>
    <w:rsid w:val="00C76E3C"/>
    <w:rsid w:val="00C81568"/>
    <w:rsid w:val="00C83325"/>
    <w:rsid w:val="00C9027A"/>
    <w:rsid w:val="00C9068E"/>
    <w:rsid w:val="00C93814"/>
    <w:rsid w:val="00C93C4B"/>
    <w:rsid w:val="00C944AB"/>
    <w:rsid w:val="00C95B40"/>
    <w:rsid w:val="00CA1ED8"/>
    <w:rsid w:val="00CA5D4C"/>
    <w:rsid w:val="00CB1F63"/>
    <w:rsid w:val="00CB514E"/>
    <w:rsid w:val="00CB7170"/>
    <w:rsid w:val="00CC040E"/>
    <w:rsid w:val="00CC111F"/>
    <w:rsid w:val="00CC2011"/>
    <w:rsid w:val="00CC3EA0"/>
    <w:rsid w:val="00CC7B45"/>
    <w:rsid w:val="00CD1188"/>
    <w:rsid w:val="00CD2ED1"/>
    <w:rsid w:val="00CD337B"/>
    <w:rsid w:val="00CE0424"/>
    <w:rsid w:val="00CE7561"/>
    <w:rsid w:val="00CF0005"/>
    <w:rsid w:val="00CF1354"/>
    <w:rsid w:val="00CF3B1F"/>
    <w:rsid w:val="00CF3BF6"/>
    <w:rsid w:val="00CF625B"/>
    <w:rsid w:val="00CF687E"/>
    <w:rsid w:val="00D0349B"/>
    <w:rsid w:val="00D10249"/>
    <w:rsid w:val="00D115C3"/>
    <w:rsid w:val="00D11897"/>
    <w:rsid w:val="00D13135"/>
    <w:rsid w:val="00D13E4E"/>
    <w:rsid w:val="00D22873"/>
    <w:rsid w:val="00D239A7"/>
    <w:rsid w:val="00D23F47"/>
    <w:rsid w:val="00D249AD"/>
    <w:rsid w:val="00D3392C"/>
    <w:rsid w:val="00D36E71"/>
    <w:rsid w:val="00D37D87"/>
    <w:rsid w:val="00D40B33"/>
    <w:rsid w:val="00D4318F"/>
    <w:rsid w:val="00D438BF"/>
    <w:rsid w:val="00D440F8"/>
    <w:rsid w:val="00D546FF"/>
    <w:rsid w:val="00D55AD5"/>
    <w:rsid w:val="00D5660F"/>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704C"/>
    <w:rsid w:val="00DB0A9F"/>
    <w:rsid w:val="00DB2AA8"/>
    <w:rsid w:val="00DB377D"/>
    <w:rsid w:val="00DC2D36"/>
    <w:rsid w:val="00DC47A4"/>
    <w:rsid w:val="00DC53EF"/>
    <w:rsid w:val="00DE5608"/>
    <w:rsid w:val="00DE58D0"/>
    <w:rsid w:val="00DE654F"/>
    <w:rsid w:val="00DE6FAC"/>
    <w:rsid w:val="00DF0B6E"/>
    <w:rsid w:val="00DF15E0"/>
    <w:rsid w:val="00DF37A0"/>
    <w:rsid w:val="00E110E7"/>
    <w:rsid w:val="00E11B20"/>
    <w:rsid w:val="00E144D2"/>
    <w:rsid w:val="00E17FA2"/>
    <w:rsid w:val="00E220EC"/>
    <w:rsid w:val="00E22330"/>
    <w:rsid w:val="00E2404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FEC"/>
    <w:rsid w:val="00E8234C"/>
    <w:rsid w:val="00E83AA9"/>
    <w:rsid w:val="00E85928"/>
    <w:rsid w:val="00E87822"/>
    <w:rsid w:val="00E90395"/>
    <w:rsid w:val="00E90E49"/>
    <w:rsid w:val="00E917F9"/>
    <w:rsid w:val="00E9291C"/>
    <w:rsid w:val="00E93FFE"/>
    <w:rsid w:val="00E94F8A"/>
    <w:rsid w:val="00E9780C"/>
    <w:rsid w:val="00EA230C"/>
    <w:rsid w:val="00EA7A41"/>
    <w:rsid w:val="00EB077B"/>
    <w:rsid w:val="00EB4EA2"/>
    <w:rsid w:val="00EC24D5"/>
    <w:rsid w:val="00EC27C6"/>
    <w:rsid w:val="00EC4207"/>
    <w:rsid w:val="00EC5653"/>
    <w:rsid w:val="00EC71CE"/>
    <w:rsid w:val="00ED1006"/>
    <w:rsid w:val="00ED2B7B"/>
    <w:rsid w:val="00ED2ED7"/>
    <w:rsid w:val="00EF18FE"/>
    <w:rsid w:val="00EF5787"/>
    <w:rsid w:val="00EF60D0"/>
    <w:rsid w:val="00EF7420"/>
    <w:rsid w:val="00F0036F"/>
    <w:rsid w:val="00F0528D"/>
    <w:rsid w:val="00F06C67"/>
    <w:rsid w:val="00F06DFD"/>
    <w:rsid w:val="00F071D1"/>
    <w:rsid w:val="00F07533"/>
    <w:rsid w:val="00F10629"/>
    <w:rsid w:val="00F13830"/>
    <w:rsid w:val="00F155B6"/>
    <w:rsid w:val="00F15BE3"/>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C06"/>
    <w:rsid w:val="00FA2BB3"/>
    <w:rsid w:val="00FB4C80"/>
    <w:rsid w:val="00FB6A6A"/>
    <w:rsid w:val="00FC3EB7"/>
    <w:rsid w:val="00FC5956"/>
    <w:rsid w:val="00FC7429"/>
    <w:rsid w:val="00FD07F6"/>
    <w:rsid w:val="00FD1EC8"/>
    <w:rsid w:val="00FD47ED"/>
    <w:rsid w:val="00FD74DB"/>
    <w:rsid w:val="00FD7660"/>
    <w:rsid w:val="00FE0655"/>
    <w:rsid w:val="00FE2365"/>
    <w:rsid w:val="00FE37D7"/>
    <w:rsid w:val="00FE4C7B"/>
    <w:rsid w:val="00FE53EB"/>
    <w:rsid w:val="00FE7336"/>
    <w:rsid w:val="00FE787C"/>
    <w:rsid w:val="00FF3FFD"/>
    <w:rsid w:val="00FF45A5"/>
    <w:rsid w:val="00FF5247"/>
    <w:rsid w:val="00FF5C91"/>
    <w:rsid w:val="00FF6C6D"/>
    <w:rsid w:val="00FF77BE"/>
    <w:rsid w:val="48811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0ADB13"/>
  <w15:chartTrackingRefBased/>
  <w15:docId w15:val="{FAF1F1F2-F19D-41D5-AFF5-FB8C975C0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206364">
      <w:bodyDiv w:val="1"/>
      <w:marLeft w:val="0"/>
      <w:marRight w:val="0"/>
      <w:marTop w:val="0"/>
      <w:marBottom w:val="0"/>
      <w:divBdr>
        <w:top w:val="none" w:sz="0" w:space="0" w:color="auto"/>
        <w:left w:val="none" w:sz="0" w:space="0" w:color="auto"/>
        <w:bottom w:val="none" w:sz="0" w:space="0" w:color="auto"/>
        <w:right w:val="none" w:sz="0" w:space="0" w:color="auto"/>
      </w:divBdr>
    </w:div>
    <w:div w:id="1917593952">
      <w:bodyDiv w:val="1"/>
      <w:marLeft w:val="0"/>
      <w:marRight w:val="0"/>
      <w:marTop w:val="0"/>
      <w:marBottom w:val="0"/>
      <w:divBdr>
        <w:top w:val="none" w:sz="0" w:space="0" w:color="auto"/>
        <w:left w:val="none" w:sz="0" w:space="0" w:color="auto"/>
        <w:bottom w:val="none" w:sz="0" w:space="0" w:color="auto"/>
        <w:right w:val="none" w:sz="0" w:space="0" w:color="auto"/>
      </w:divBdr>
    </w:div>
    <w:div w:id="194441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757C6.9B69EAF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6/Docs//RP-193248.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1e/Docs//RP-2109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SWEA%20-%20Documents\SWEA%20RAN%20Groups\RAN\RAN_92%20Rel18%20WS\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22AFBE2-9C3C-4111-9D88-5A878EDB1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470</TotalTime>
  <Pages>3</Pages>
  <Words>1314</Words>
  <Characters>7276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8573</CharactersWithSpaces>
  <SharedDoc>false</SharedDoc>
  <HyperlinkBase/>
  <HLinks>
    <vt:vector size="42" baseType="variant">
      <vt:variant>
        <vt:i4>1245239</vt:i4>
      </vt:variant>
      <vt:variant>
        <vt:i4>20</vt:i4>
      </vt:variant>
      <vt:variant>
        <vt:i4>0</vt:i4>
      </vt:variant>
      <vt:variant>
        <vt:i4>5</vt:i4>
      </vt:variant>
      <vt:variant>
        <vt:lpwstr/>
      </vt:variant>
      <vt:variant>
        <vt:lpwstr>_Toc73617513</vt:lpwstr>
      </vt:variant>
      <vt:variant>
        <vt:i4>1179703</vt:i4>
      </vt:variant>
      <vt:variant>
        <vt:i4>17</vt:i4>
      </vt:variant>
      <vt:variant>
        <vt:i4>0</vt:i4>
      </vt:variant>
      <vt:variant>
        <vt:i4>5</vt:i4>
      </vt:variant>
      <vt:variant>
        <vt:lpwstr/>
      </vt:variant>
      <vt:variant>
        <vt:lpwstr>_Toc73617512</vt:lpwstr>
      </vt:variant>
      <vt:variant>
        <vt:i4>1114167</vt:i4>
      </vt:variant>
      <vt:variant>
        <vt:i4>14</vt:i4>
      </vt:variant>
      <vt:variant>
        <vt:i4>0</vt:i4>
      </vt:variant>
      <vt:variant>
        <vt:i4>5</vt:i4>
      </vt:variant>
      <vt:variant>
        <vt:lpwstr/>
      </vt:variant>
      <vt:variant>
        <vt:lpwstr>_Toc73617511</vt:lpwstr>
      </vt:variant>
      <vt:variant>
        <vt:i4>1048631</vt:i4>
      </vt:variant>
      <vt:variant>
        <vt:i4>11</vt:i4>
      </vt:variant>
      <vt:variant>
        <vt:i4>0</vt:i4>
      </vt:variant>
      <vt:variant>
        <vt:i4>5</vt:i4>
      </vt:variant>
      <vt:variant>
        <vt:lpwstr/>
      </vt:variant>
      <vt:variant>
        <vt:lpwstr>_Toc73617510</vt:lpwstr>
      </vt:variant>
      <vt:variant>
        <vt:i4>1638454</vt:i4>
      </vt:variant>
      <vt:variant>
        <vt:i4>8</vt:i4>
      </vt:variant>
      <vt:variant>
        <vt:i4>0</vt:i4>
      </vt:variant>
      <vt:variant>
        <vt:i4>5</vt:i4>
      </vt:variant>
      <vt:variant>
        <vt:lpwstr/>
      </vt:variant>
      <vt:variant>
        <vt:lpwstr>_Toc73617509</vt:lpwstr>
      </vt:variant>
      <vt:variant>
        <vt:i4>2359321</vt:i4>
      </vt:variant>
      <vt:variant>
        <vt:i4>3</vt:i4>
      </vt:variant>
      <vt:variant>
        <vt:i4>0</vt:i4>
      </vt:variant>
      <vt:variant>
        <vt:i4>5</vt:i4>
      </vt:variant>
      <vt:variant>
        <vt:lpwstr>http://www.3gpp.org/ftp/tsg_ran/TSG_RAN//TSGR_91e/Docs//RP-210907.zip</vt:lpwstr>
      </vt:variant>
      <vt:variant>
        <vt:lpwstr/>
      </vt:variant>
      <vt:variant>
        <vt:i4>7602258</vt:i4>
      </vt:variant>
      <vt:variant>
        <vt:i4>0</vt:i4>
      </vt:variant>
      <vt:variant>
        <vt:i4>0</vt:i4>
      </vt:variant>
      <vt:variant>
        <vt:i4>5</vt:i4>
      </vt:variant>
      <vt:variant>
        <vt:lpwstr>http://www.3gpp.org/ftp/tsg_ran/TSG_RAN//TSGR_86/Docs//RP-193248.zip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Mats Folke</cp:lastModifiedBy>
  <cp:revision>109</cp:revision>
  <cp:lastPrinted>2008-02-01T01:09:00Z</cp:lastPrinted>
  <dcterms:created xsi:type="dcterms:W3CDTF">2021-06-02T02:10:00Z</dcterms:created>
  <dcterms:modified xsi:type="dcterms:W3CDTF">2021-06-07T19:32:00Z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